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95A4" w14:textId="5AB487A6" w:rsidR="003A4166" w:rsidRDefault="003A4166" w:rsidP="003A4166">
      <w:pPr>
        <w:spacing w:after="0" w:line="240" w:lineRule="auto"/>
        <w:jc w:val="both"/>
        <w:rPr>
          <w:rFonts w:ascii="Times New Roman" w:hAnsi="Times New Roman" w:cs="Times New Roman"/>
        </w:rPr>
      </w:pPr>
      <w:r>
        <w:rPr>
          <w:rFonts w:ascii="Times New Roman" w:hAnsi="Times New Roman" w:cs="Times New Roman"/>
        </w:rPr>
        <w:t>Lugupeetud minister</w:t>
      </w:r>
    </w:p>
    <w:p w14:paraId="0E2376B0" w14:textId="77777777" w:rsidR="003A4166" w:rsidRDefault="003A4166" w:rsidP="003A4166">
      <w:pPr>
        <w:spacing w:after="0" w:line="240" w:lineRule="auto"/>
        <w:jc w:val="both"/>
        <w:rPr>
          <w:rFonts w:ascii="Times New Roman" w:hAnsi="Times New Roman" w:cs="Times New Roman"/>
        </w:rPr>
      </w:pPr>
    </w:p>
    <w:p w14:paraId="73423367" w14:textId="06438401" w:rsidR="00E46057" w:rsidRDefault="00F93EFE" w:rsidP="003A4166">
      <w:pPr>
        <w:spacing w:after="0" w:line="240" w:lineRule="auto"/>
        <w:jc w:val="both"/>
        <w:rPr>
          <w:rFonts w:ascii="Times New Roman" w:hAnsi="Times New Roman" w:cs="Times New Roman"/>
        </w:rPr>
      </w:pPr>
      <w:r>
        <w:rPr>
          <w:rFonts w:ascii="Times New Roman" w:hAnsi="Times New Roman" w:cs="Times New Roman"/>
        </w:rPr>
        <w:t xml:space="preserve">Olete esitanud </w:t>
      </w:r>
      <w:r w:rsidR="00F4702E" w:rsidRPr="00DE3EFC">
        <w:rPr>
          <w:rFonts w:ascii="Times New Roman" w:hAnsi="Times New Roman" w:cs="Times New Roman"/>
        </w:rPr>
        <w:t>Siseministeerium</w:t>
      </w:r>
      <w:r>
        <w:rPr>
          <w:rFonts w:ascii="Times New Roman" w:hAnsi="Times New Roman" w:cs="Times New Roman"/>
        </w:rPr>
        <w:t xml:space="preserve">ile kooskõlastamiseks </w:t>
      </w:r>
      <w:r w:rsidRPr="00DE3EFC">
        <w:rPr>
          <w:rFonts w:ascii="Times New Roman" w:hAnsi="Times New Roman" w:cs="Times New Roman"/>
        </w:rPr>
        <w:t>täitemenetluse seadustiku ning tsiviilkohtumenetluse seadustiku ja täitemenetluse seadustiku rakendamise seaduse muutmise seaduse eelnõu</w:t>
      </w:r>
      <w:r>
        <w:rPr>
          <w:rFonts w:ascii="Times New Roman" w:hAnsi="Times New Roman" w:cs="Times New Roman"/>
        </w:rPr>
        <w:t xml:space="preserve"> (</w:t>
      </w:r>
      <w:r w:rsidRPr="00040F43">
        <w:rPr>
          <w:rFonts w:ascii="Times New Roman" w:hAnsi="Times New Roman" w:cs="Times New Roman"/>
        </w:rPr>
        <w:t>edaspidi</w:t>
      </w:r>
      <w:r>
        <w:rPr>
          <w:rFonts w:ascii="Times New Roman" w:hAnsi="Times New Roman" w:cs="Times New Roman"/>
        </w:rPr>
        <w:t xml:space="preserve"> </w:t>
      </w:r>
      <w:r w:rsidRPr="00040F43">
        <w:rPr>
          <w:rFonts w:ascii="Times New Roman" w:hAnsi="Times New Roman" w:cs="Times New Roman"/>
          <w:i/>
          <w:iCs/>
        </w:rPr>
        <w:t>eelnõu</w:t>
      </w:r>
      <w:r>
        <w:rPr>
          <w:rFonts w:ascii="Times New Roman" w:hAnsi="Times New Roman" w:cs="Times New Roman"/>
        </w:rPr>
        <w:t>)</w:t>
      </w:r>
      <w:r>
        <w:rPr>
          <w:rFonts w:ascii="Times New Roman" w:hAnsi="Times New Roman" w:cs="Times New Roman"/>
        </w:rPr>
        <w:t xml:space="preserve">. Siseministeerium toetab eelnõuga seotud eesmärki laiendada andmejälgija kasutamist isikuandmete töötlemisel ning on valmis igakülgselt panustama isikuandmete kasutamise läbipaistvuse suurendamisse ning isikuandmete töötlemise </w:t>
      </w:r>
      <w:r w:rsidR="000B7B3C">
        <w:rPr>
          <w:rFonts w:ascii="Times New Roman" w:hAnsi="Times New Roman" w:cs="Times New Roman"/>
        </w:rPr>
        <w:t>õiguspärasuse</w:t>
      </w:r>
      <w:r>
        <w:rPr>
          <w:rFonts w:ascii="Times New Roman" w:hAnsi="Times New Roman" w:cs="Times New Roman"/>
        </w:rPr>
        <w:t xml:space="preserve"> tagamisse. Käesolevas eelnõus sätestatud muudatused toovad meie hinnangul kaasa olulisi tehnilisi ning õiguslikke muudatusi ja arendusi, mistõttu kooskõlastame eelnõu käesolevalt </w:t>
      </w:r>
      <w:r w:rsidR="004E5EBF">
        <w:rPr>
          <w:rFonts w:ascii="Times New Roman" w:hAnsi="Times New Roman" w:cs="Times New Roman"/>
        </w:rPr>
        <w:t>märkustega arvestamisel</w:t>
      </w:r>
      <w:r w:rsidR="00DF2BA5">
        <w:rPr>
          <w:rFonts w:ascii="Times New Roman" w:hAnsi="Times New Roman" w:cs="Times New Roman"/>
        </w:rPr>
        <w:t>.</w:t>
      </w:r>
    </w:p>
    <w:p w14:paraId="18158934" w14:textId="77777777" w:rsidR="00E46057" w:rsidRDefault="00E46057" w:rsidP="003A4166">
      <w:pPr>
        <w:spacing w:after="0" w:line="240" w:lineRule="auto"/>
        <w:jc w:val="both"/>
        <w:rPr>
          <w:rFonts w:ascii="Times New Roman" w:hAnsi="Times New Roman" w:cs="Times New Roman"/>
        </w:rPr>
      </w:pPr>
    </w:p>
    <w:p w14:paraId="419F7DEA" w14:textId="7C062C82" w:rsidR="005F22DE" w:rsidRDefault="002A09D8" w:rsidP="003A4166">
      <w:pPr>
        <w:spacing w:after="0" w:line="240" w:lineRule="auto"/>
        <w:jc w:val="both"/>
        <w:rPr>
          <w:rFonts w:ascii="Times New Roman" w:hAnsi="Times New Roman" w:cs="Times New Roman"/>
        </w:rPr>
      </w:pPr>
      <w:r>
        <w:rPr>
          <w:rFonts w:ascii="Times New Roman" w:hAnsi="Times New Roman" w:cs="Times New Roman"/>
        </w:rPr>
        <w:t xml:space="preserve">Siseministeeriumi hinnangul vajavad täiendavat arutelu </w:t>
      </w:r>
      <w:r w:rsidR="0074666F">
        <w:rPr>
          <w:rFonts w:ascii="Times New Roman" w:hAnsi="Times New Roman" w:cs="Times New Roman"/>
        </w:rPr>
        <w:t>järgmised probleemkohad:</w:t>
      </w:r>
    </w:p>
    <w:p w14:paraId="0FB0E05F" w14:textId="77777777" w:rsidR="00E46057" w:rsidRPr="00DE3EFC" w:rsidRDefault="00E46057" w:rsidP="003A4166">
      <w:pPr>
        <w:spacing w:after="0" w:line="240" w:lineRule="auto"/>
        <w:jc w:val="both"/>
        <w:rPr>
          <w:rFonts w:ascii="Times New Roman" w:hAnsi="Times New Roman" w:cs="Times New Roman"/>
        </w:rPr>
      </w:pPr>
    </w:p>
    <w:p w14:paraId="7FB1C275" w14:textId="46432C1B" w:rsidR="00500FE1" w:rsidRPr="00F4581D" w:rsidRDefault="00500FE1" w:rsidP="00500FE1">
      <w:pPr>
        <w:pStyle w:val="ListParagraph"/>
        <w:numPr>
          <w:ilvl w:val="0"/>
          <w:numId w:val="1"/>
        </w:numPr>
        <w:spacing w:after="0" w:line="240" w:lineRule="auto"/>
        <w:jc w:val="both"/>
        <w:rPr>
          <w:rFonts w:ascii="Times New Roman" w:hAnsi="Times New Roman" w:cs="Times New Roman"/>
          <w:b/>
          <w:bCs/>
        </w:rPr>
      </w:pPr>
      <w:r w:rsidRPr="00F4581D">
        <w:rPr>
          <w:rFonts w:ascii="Times New Roman" w:hAnsi="Times New Roman" w:cs="Times New Roman"/>
          <w:b/>
          <w:bCs/>
        </w:rPr>
        <w:t xml:space="preserve">muudatused eeldavad </w:t>
      </w:r>
      <w:r w:rsidR="00FB49D9">
        <w:rPr>
          <w:rFonts w:ascii="Times New Roman" w:hAnsi="Times New Roman" w:cs="Times New Roman"/>
          <w:b/>
          <w:bCs/>
        </w:rPr>
        <w:t>Siseministeeriumi</w:t>
      </w:r>
      <w:r w:rsidRPr="00F4581D">
        <w:rPr>
          <w:rFonts w:ascii="Times New Roman" w:hAnsi="Times New Roman" w:cs="Times New Roman"/>
          <w:b/>
          <w:bCs/>
        </w:rPr>
        <w:t xml:space="preserve"> </w:t>
      </w:r>
      <w:r w:rsidR="00A56245">
        <w:rPr>
          <w:rFonts w:ascii="Times New Roman" w:hAnsi="Times New Roman" w:cs="Times New Roman"/>
          <w:b/>
          <w:bCs/>
        </w:rPr>
        <w:t>valitsemisala (</w:t>
      </w:r>
      <w:r w:rsidR="00040F43" w:rsidRPr="00FB49D9">
        <w:rPr>
          <w:rFonts w:ascii="Times New Roman" w:hAnsi="Times New Roman" w:cs="Times New Roman"/>
        </w:rPr>
        <w:t>edaspidi</w:t>
      </w:r>
      <w:r w:rsidR="00FB49D9">
        <w:rPr>
          <w:rFonts w:ascii="Times New Roman" w:hAnsi="Times New Roman" w:cs="Times New Roman"/>
        </w:rPr>
        <w:t xml:space="preserve"> </w:t>
      </w:r>
      <w:r w:rsidR="00FB49D9" w:rsidRPr="00FB49D9">
        <w:rPr>
          <w:rFonts w:ascii="Times New Roman" w:hAnsi="Times New Roman" w:cs="Times New Roman"/>
          <w:i/>
          <w:iCs/>
        </w:rPr>
        <w:t>SiM</w:t>
      </w:r>
      <w:r w:rsidR="00040F43" w:rsidRPr="00FB49D9">
        <w:rPr>
          <w:rFonts w:ascii="Times New Roman" w:hAnsi="Times New Roman" w:cs="Times New Roman"/>
        </w:rPr>
        <w:t xml:space="preserve"> </w:t>
      </w:r>
      <w:r w:rsidRPr="00FB49D9">
        <w:rPr>
          <w:rFonts w:ascii="Times New Roman" w:hAnsi="Times New Roman" w:cs="Times New Roman"/>
          <w:i/>
          <w:iCs/>
        </w:rPr>
        <w:t>VA</w:t>
      </w:r>
      <w:r w:rsidR="00A56245">
        <w:rPr>
          <w:rFonts w:ascii="Times New Roman" w:hAnsi="Times New Roman" w:cs="Times New Roman"/>
          <w:b/>
          <w:bCs/>
        </w:rPr>
        <w:t>)</w:t>
      </w:r>
      <w:r w:rsidRPr="00F4581D">
        <w:rPr>
          <w:rFonts w:ascii="Times New Roman" w:hAnsi="Times New Roman" w:cs="Times New Roman"/>
          <w:b/>
          <w:bCs/>
        </w:rPr>
        <w:t xml:space="preserve"> IT-süsteemide arendamist, planeerimist ning seotud kulude katmist</w:t>
      </w:r>
      <w:r w:rsidR="00E46057" w:rsidRPr="00F4581D">
        <w:rPr>
          <w:rFonts w:ascii="Times New Roman" w:hAnsi="Times New Roman" w:cs="Times New Roman"/>
          <w:b/>
          <w:bCs/>
        </w:rPr>
        <w:t xml:space="preserve"> ja üleminekutähtaeg ei arvesta tegelikku olukorda</w:t>
      </w:r>
      <w:r w:rsidR="00F4581D" w:rsidRPr="00F4581D">
        <w:rPr>
          <w:rFonts w:ascii="Times New Roman" w:hAnsi="Times New Roman" w:cs="Times New Roman"/>
          <w:b/>
          <w:bCs/>
        </w:rPr>
        <w:t xml:space="preserve">. </w:t>
      </w:r>
      <w:r w:rsidR="00F4581D" w:rsidRPr="006337E9">
        <w:rPr>
          <w:rFonts w:ascii="Times New Roman" w:hAnsi="Times New Roman" w:cs="Times New Roman"/>
          <w:b/>
          <w:bCs/>
          <w:u w:val="single"/>
        </w:rPr>
        <w:t xml:space="preserve">Siseministeeriumi infotehnoloogia- ja arenduskeskuse hinnangul on eeldatav eelnõu kulu </w:t>
      </w:r>
      <w:r w:rsidR="009A114F" w:rsidRPr="006337E9">
        <w:rPr>
          <w:rFonts w:ascii="Times New Roman" w:hAnsi="Times New Roman" w:cs="Times New Roman"/>
          <w:b/>
          <w:bCs/>
          <w:u w:val="single"/>
        </w:rPr>
        <w:t>kuni 5</w:t>
      </w:r>
      <w:r w:rsidR="00F4581D" w:rsidRPr="006337E9">
        <w:rPr>
          <w:rFonts w:ascii="Times New Roman" w:hAnsi="Times New Roman" w:cs="Times New Roman"/>
          <w:b/>
          <w:bCs/>
          <w:u w:val="single"/>
        </w:rPr>
        <w:t>00 000 eurot, millel puudub katteallikas</w:t>
      </w:r>
      <w:r w:rsidRPr="00F4581D">
        <w:rPr>
          <w:rFonts w:ascii="Times New Roman" w:hAnsi="Times New Roman" w:cs="Times New Roman"/>
          <w:b/>
          <w:bCs/>
        </w:rPr>
        <w:t>;</w:t>
      </w:r>
    </w:p>
    <w:p w14:paraId="04EA7D48" w14:textId="17B43722" w:rsidR="00F4702E" w:rsidRPr="00F4581D" w:rsidRDefault="00F4702E" w:rsidP="003A4166">
      <w:pPr>
        <w:pStyle w:val="ListParagraph"/>
        <w:numPr>
          <w:ilvl w:val="0"/>
          <w:numId w:val="1"/>
        </w:numPr>
        <w:spacing w:after="0" w:line="240" w:lineRule="auto"/>
        <w:jc w:val="both"/>
        <w:rPr>
          <w:rFonts w:ascii="Times New Roman" w:hAnsi="Times New Roman" w:cs="Times New Roman"/>
          <w:b/>
          <w:bCs/>
        </w:rPr>
      </w:pPr>
      <w:r w:rsidRPr="00F4581D">
        <w:rPr>
          <w:rFonts w:ascii="Times New Roman" w:hAnsi="Times New Roman" w:cs="Times New Roman"/>
          <w:b/>
          <w:bCs/>
        </w:rPr>
        <w:t>eelnõu</w:t>
      </w:r>
      <w:r w:rsidR="00E46057" w:rsidRPr="00F4581D">
        <w:rPr>
          <w:rFonts w:ascii="Times New Roman" w:hAnsi="Times New Roman" w:cs="Times New Roman"/>
          <w:b/>
          <w:bCs/>
        </w:rPr>
        <w:t xml:space="preserve">s </w:t>
      </w:r>
      <w:r w:rsidR="002A09D8">
        <w:rPr>
          <w:rFonts w:ascii="Times New Roman" w:hAnsi="Times New Roman" w:cs="Times New Roman"/>
          <w:b/>
          <w:bCs/>
        </w:rPr>
        <w:t>esineb mõningaid</w:t>
      </w:r>
      <w:r w:rsidR="00E46057" w:rsidRPr="00F4581D">
        <w:rPr>
          <w:rFonts w:ascii="Times New Roman" w:hAnsi="Times New Roman" w:cs="Times New Roman"/>
          <w:b/>
          <w:bCs/>
        </w:rPr>
        <w:t xml:space="preserve"> puudusi, näiteks </w:t>
      </w:r>
      <w:r w:rsidR="00783F36" w:rsidRPr="00F4581D">
        <w:rPr>
          <w:rFonts w:ascii="Times New Roman" w:hAnsi="Times New Roman" w:cs="Times New Roman"/>
          <w:b/>
          <w:bCs/>
        </w:rPr>
        <w:t xml:space="preserve">eelnõu terminoloogias on küsitavusi </w:t>
      </w:r>
      <w:r w:rsidR="00040F43">
        <w:rPr>
          <w:rFonts w:ascii="Times New Roman" w:hAnsi="Times New Roman" w:cs="Times New Roman"/>
          <w:b/>
          <w:bCs/>
        </w:rPr>
        <w:t>ja on</w:t>
      </w:r>
      <w:r w:rsidR="00783F36" w:rsidRPr="00F4581D">
        <w:rPr>
          <w:rFonts w:ascii="Times New Roman" w:hAnsi="Times New Roman" w:cs="Times New Roman"/>
          <w:b/>
          <w:bCs/>
        </w:rPr>
        <w:t xml:space="preserve"> ebaselge, kas </w:t>
      </w:r>
      <w:r w:rsidR="00007B5F">
        <w:rPr>
          <w:rFonts w:ascii="Times New Roman" w:hAnsi="Times New Roman" w:cs="Times New Roman"/>
          <w:b/>
          <w:bCs/>
        </w:rPr>
        <w:t>isikuandmete kaitse seaduse (</w:t>
      </w:r>
      <w:r w:rsidR="00040F43" w:rsidRPr="00FB49D9">
        <w:rPr>
          <w:rFonts w:ascii="Times New Roman" w:hAnsi="Times New Roman" w:cs="Times New Roman"/>
        </w:rPr>
        <w:t xml:space="preserve">edaspidi </w:t>
      </w:r>
      <w:r w:rsidR="00007B5F" w:rsidRPr="00FB49D9">
        <w:rPr>
          <w:rFonts w:ascii="Times New Roman" w:hAnsi="Times New Roman" w:cs="Times New Roman"/>
          <w:i/>
          <w:iCs/>
        </w:rPr>
        <w:t>IKS</w:t>
      </w:r>
      <w:r w:rsidR="00007B5F">
        <w:rPr>
          <w:rFonts w:ascii="Times New Roman" w:hAnsi="Times New Roman" w:cs="Times New Roman"/>
          <w:b/>
          <w:bCs/>
        </w:rPr>
        <w:t>), politsei ja piirivalve seaduse (</w:t>
      </w:r>
      <w:r w:rsidR="00FB49D9" w:rsidRPr="00FB49D9">
        <w:rPr>
          <w:rFonts w:ascii="Times New Roman" w:hAnsi="Times New Roman" w:cs="Times New Roman"/>
        </w:rPr>
        <w:t xml:space="preserve">edaspidi </w:t>
      </w:r>
      <w:r w:rsidR="00007B5F" w:rsidRPr="00FB49D9">
        <w:rPr>
          <w:rFonts w:ascii="Times New Roman" w:hAnsi="Times New Roman" w:cs="Times New Roman"/>
          <w:i/>
          <w:iCs/>
        </w:rPr>
        <w:t>PPVS</w:t>
      </w:r>
      <w:r w:rsidR="00007B5F">
        <w:rPr>
          <w:rFonts w:ascii="Times New Roman" w:hAnsi="Times New Roman" w:cs="Times New Roman"/>
          <w:b/>
          <w:bCs/>
        </w:rPr>
        <w:t xml:space="preserve">) ning kriminaalmenetluse </w:t>
      </w:r>
      <w:r w:rsidR="00DD67F9">
        <w:rPr>
          <w:rFonts w:ascii="Times New Roman" w:hAnsi="Times New Roman" w:cs="Times New Roman"/>
          <w:b/>
          <w:bCs/>
        </w:rPr>
        <w:t xml:space="preserve">seadustiku </w:t>
      </w:r>
      <w:r w:rsidR="00007B5F">
        <w:rPr>
          <w:rFonts w:ascii="Times New Roman" w:hAnsi="Times New Roman" w:cs="Times New Roman"/>
          <w:b/>
          <w:bCs/>
        </w:rPr>
        <w:t>(</w:t>
      </w:r>
      <w:r w:rsidR="00FB49D9" w:rsidRPr="005B5E27">
        <w:rPr>
          <w:rFonts w:ascii="Times New Roman" w:hAnsi="Times New Roman" w:cs="Times New Roman"/>
        </w:rPr>
        <w:t>edaspidi</w:t>
      </w:r>
      <w:r w:rsidR="00FB49D9" w:rsidRPr="005B5E27">
        <w:rPr>
          <w:rFonts w:ascii="Times New Roman" w:hAnsi="Times New Roman" w:cs="Times New Roman"/>
          <w:i/>
          <w:iCs/>
        </w:rPr>
        <w:t xml:space="preserve"> </w:t>
      </w:r>
      <w:proofErr w:type="spellStart"/>
      <w:r w:rsidR="00007B5F" w:rsidRPr="005B5E27">
        <w:rPr>
          <w:rFonts w:ascii="Times New Roman" w:hAnsi="Times New Roman" w:cs="Times New Roman"/>
          <w:i/>
          <w:iCs/>
        </w:rPr>
        <w:t>KrMS</w:t>
      </w:r>
      <w:proofErr w:type="spellEnd"/>
      <w:r w:rsidR="00007B5F">
        <w:rPr>
          <w:rFonts w:ascii="Times New Roman" w:hAnsi="Times New Roman" w:cs="Times New Roman"/>
          <w:b/>
          <w:bCs/>
        </w:rPr>
        <w:t>)</w:t>
      </w:r>
      <w:r w:rsidR="00FC35AB">
        <w:rPr>
          <w:rFonts w:ascii="Times New Roman" w:hAnsi="Times New Roman" w:cs="Times New Roman"/>
          <w:b/>
          <w:bCs/>
        </w:rPr>
        <w:t xml:space="preserve"> või julgeolekuasutuste seaduse (</w:t>
      </w:r>
      <w:r w:rsidR="00FC35AB" w:rsidRPr="00FA3224">
        <w:rPr>
          <w:rFonts w:ascii="Times New Roman" w:hAnsi="Times New Roman" w:cs="Times New Roman"/>
        </w:rPr>
        <w:t xml:space="preserve">edaspidi </w:t>
      </w:r>
      <w:r w:rsidR="00FC35AB" w:rsidRPr="00FA3224">
        <w:rPr>
          <w:rFonts w:ascii="Times New Roman" w:hAnsi="Times New Roman" w:cs="Times New Roman"/>
          <w:i/>
          <w:iCs/>
        </w:rPr>
        <w:t>JAS</w:t>
      </w:r>
      <w:r w:rsidR="00FC35AB">
        <w:rPr>
          <w:rFonts w:ascii="Times New Roman" w:hAnsi="Times New Roman" w:cs="Times New Roman"/>
          <w:b/>
          <w:bCs/>
        </w:rPr>
        <w:t>)</w:t>
      </w:r>
      <w:r w:rsidR="00007B5F">
        <w:rPr>
          <w:rFonts w:ascii="Times New Roman" w:hAnsi="Times New Roman" w:cs="Times New Roman"/>
          <w:b/>
          <w:bCs/>
        </w:rPr>
        <w:t xml:space="preserve"> alusel hakkavad või peavad </w:t>
      </w:r>
      <w:r w:rsidR="00A56245" w:rsidRPr="00F4581D">
        <w:rPr>
          <w:rFonts w:ascii="Times New Roman" w:hAnsi="Times New Roman" w:cs="Times New Roman"/>
          <w:b/>
          <w:bCs/>
        </w:rPr>
        <w:t>Politsei- ja Piirivalveamet (</w:t>
      </w:r>
      <w:r w:rsidR="00A56245" w:rsidRPr="00FB49D9">
        <w:rPr>
          <w:rFonts w:ascii="Times New Roman" w:hAnsi="Times New Roman" w:cs="Times New Roman"/>
        </w:rPr>
        <w:t xml:space="preserve">edaspidi </w:t>
      </w:r>
      <w:r w:rsidR="00A56245" w:rsidRPr="00FB49D9">
        <w:rPr>
          <w:rFonts w:ascii="Times New Roman" w:hAnsi="Times New Roman" w:cs="Times New Roman"/>
          <w:i/>
          <w:iCs/>
        </w:rPr>
        <w:t>PPA</w:t>
      </w:r>
      <w:r w:rsidR="00A56245" w:rsidRPr="00F4581D">
        <w:rPr>
          <w:rFonts w:ascii="Times New Roman" w:hAnsi="Times New Roman" w:cs="Times New Roman"/>
          <w:b/>
          <w:bCs/>
        </w:rPr>
        <w:t>)</w:t>
      </w:r>
      <w:r w:rsidR="00007B5F">
        <w:rPr>
          <w:rFonts w:ascii="Times New Roman" w:hAnsi="Times New Roman" w:cs="Times New Roman"/>
          <w:b/>
          <w:bCs/>
        </w:rPr>
        <w:t xml:space="preserve"> ja Kaitsepolitseiamet (</w:t>
      </w:r>
      <w:r w:rsidR="00007B5F" w:rsidRPr="00FB49D9">
        <w:rPr>
          <w:rFonts w:ascii="Times New Roman" w:hAnsi="Times New Roman" w:cs="Times New Roman"/>
        </w:rPr>
        <w:t xml:space="preserve">edaspidi </w:t>
      </w:r>
      <w:r w:rsidR="00007B5F" w:rsidRPr="00FB49D9">
        <w:rPr>
          <w:rFonts w:ascii="Times New Roman" w:hAnsi="Times New Roman" w:cs="Times New Roman"/>
          <w:i/>
          <w:iCs/>
        </w:rPr>
        <w:t>KAPO</w:t>
      </w:r>
      <w:r w:rsidR="00007B5F">
        <w:rPr>
          <w:rFonts w:ascii="Times New Roman" w:hAnsi="Times New Roman" w:cs="Times New Roman"/>
          <w:b/>
          <w:bCs/>
        </w:rPr>
        <w:t>) andmeid üldse esitama</w:t>
      </w:r>
      <w:r w:rsidR="00A868F7">
        <w:rPr>
          <w:rFonts w:ascii="Times New Roman" w:hAnsi="Times New Roman" w:cs="Times New Roman"/>
          <w:b/>
          <w:bCs/>
        </w:rPr>
        <w:t>.</w:t>
      </w:r>
      <w:r w:rsidR="00A56245">
        <w:rPr>
          <w:rFonts w:ascii="Times New Roman" w:hAnsi="Times New Roman" w:cs="Times New Roman"/>
          <w:b/>
          <w:bCs/>
        </w:rPr>
        <w:t xml:space="preserve"> </w:t>
      </w:r>
      <w:r w:rsidR="00A868F7">
        <w:rPr>
          <w:rFonts w:ascii="Times New Roman" w:hAnsi="Times New Roman" w:cs="Times New Roman"/>
          <w:b/>
          <w:bCs/>
        </w:rPr>
        <w:t>S</w:t>
      </w:r>
      <w:r w:rsidR="00A56245">
        <w:rPr>
          <w:rFonts w:ascii="Times New Roman" w:hAnsi="Times New Roman" w:cs="Times New Roman"/>
          <w:b/>
          <w:bCs/>
        </w:rPr>
        <w:t>amuti</w:t>
      </w:r>
      <w:r w:rsidR="00A56245" w:rsidRPr="00A56245">
        <w:rPr>
          <w:rFonts w:ascii="Times New Roman" w:hAnsi="Times New Roman" w:cs="Times New Roman"/>
          <w:b/>
          <w:bCs/>
        </w:rPr>
        <w:t xml:space="preserve"> </w:t>
      </w:r>
      <w:r w:rsidR="00013779">
        <w:rPr>
          <w:rFonts w:ascii="Times New Roman" w:hAnsi="Times New Roman" w:cs="Times New Roman"/>
          <w:b/>
          <w:bCs/>
        </w:rPr>
        <w:t xml:space="preserve">on ebaselge andmejälgija rakendamine olukorras, kus </w:t>
      </w:r>
      <w:proofErr w:type="spellStart"/>
      <w:r w:rsidR="00A56245">
        <w:rPr>
          <w:rFonts w:ascii="Times New Roman" w:hAnsi="Times New Roman" w:cs="Times New Roman"/>
          <w:b/>
          <w:bCs/>
        </w:rPr>
        <w:t>PPA</w:t>
      </w:r>
      <w:r w:rsidR="00013779">
        <w:rPr>
          <w:rFonts w:ascii="Times New Roman" w:hAnsi="Times New Roman" w:cs="Times New Roman"/>
          <w:b/>
          <w:bCs/>
        </w:rPr>
        <w:t>-l</w:t>
      </w:r>
      <w:proofErr w:type="spellEnd"/>
      <w:r w:rsidR="00A56245">
        <w:rPr>
          <w:rFonts w:ascii="Times New Roman" w:hAnsi="Times New Roman" w:cs="Times New Roman"/>
          <w:b/>
          <w:bCs/>
        </w:rPr>
        <w:t xml:space="preserve"> on </w:t>
      </w:r>
      <w:r w:rsidR="00A56245" w:rsidRPr="00F4581D">
        <w:rPr>
          <w:rFonts w:ascii="Times New Roman" w:hAnsi="Times New Roman" w:cs="Times New Roman"/>
          <w:b/>
          <w:bCs/>
        </w:rPr>
        <w:t>koostöö kohustus välisriigi uurimis</w:t>
      </w:r>
      <w:r w:rsidR="00013779">
        <w:rPr>
          <w:rFonts w:ascii="Times New Roman" w:hAnsi="Times New Roman" w:cs="Times New Roman"/>
          <w:b/>
          <w:bCs/>
        </w:rPr>
        <w:t>asutustega</w:t>
      </w:r>
      <w:r w:rsidR="00A56245" w:rsidRPr="00F4581D">
        <w:rPr>
          <w:rFonts w:ascii="Times New Roman" w:hAnsi="Times New Roman" w:cs="Times New Roman"/>
          <w:b/>
          <w:bCs/>
        </w:rPr>
        <w:t xml:space="preserve">, </w:t>
      </w:r>
      <w:r w:rsidR="00013779">
        <w:rPr>
          <w:rFonts w:ascii="Times New Roman" w:hAnsi="Times New Roman" w:cs="Times New Roman"/>
          <w:b/>
          <w:bCs/>
        </w:rPr>
        <w:t>kelle päringuid puudutava</w:t>
      </w:r>
      <w:r w:rsidR="00A56245" w:rsidRPr="00F4581D">
        <w:rPr>
          <w:rFonts w:ascii="Times New Roman" w:hAnsi="Times New Roman" w:cs="Times New Roman"/>
          <w:b/>
          <w:bCs/>
        </w:rPr>
        <w:t xml:space="preserve"> teabe avalikustamine ei </w:t>
      </w:r>
      <w:r w:rsidR="00013779">
        <w:rPr>
          <w:rFonts w:ascii="Times New Roman" w:hAnsi="Times New Roman" w:cs="Times New Roman"/>
          <w:b/>
          <w:bCs/>
        </w:rPr>
        <w:t xml:space="preserve">pruugi olla võimalik </w:t>
      </w:r>
      <w:r w:rsidR="00A56245" w:rsidRPr="00F4581D">
        <w:rPr>
          <w:rFonts w:ascii="Times New Roman" w:hAnsi="Times New Roman" w:cs="Times New Roman"/>
          <w:b/>
          <w:bCs/>
        </w:rPr>
        <w:t>ning</w:t>
      </w:r>
      <w:r w:rsidR="00A56245">
        <w:rPr>
          <w:rFonts w:ascii="Times New Roman" w:hAnsi="Times New Roman" w:cs="Times New Roman"/>
          <w:b/>
          <w:bCs/>
        </w:rPr>
        <w:t xml:space="preserve"> need päringud</w:t>
      </w:r>
      <w:r w:rsidR="00A56245" w:rsidRPr="00F4581D">
        <w:rPr>
          <w:rFonts w:ascii="Times New Roman" w:hAnsi="Times New Roman" w:cs="Times New Roman"/>
          <w:b/>
          <w:bCs/>
        </w:rPr>
        <w:t xml:space="preserve"> </w:t>
      </w:r>
      <w:r w:rsidR="00013779">
        <w:rPr>
          <w:rFonts w:ascii="Times New Roman" w:hAnsi="Times New Roman" w:cs="Times New Roman"/>
          <w:b/>
          <w:bCs/>
        </w:rPr>
        <w:t xml:space="preserve">on </w:t>
      </w:r>
      <w:r w:rsidR="00A56245" w:rsidRPr="00F4581D">
        <w:rPr>
          <w:rFonts w:ascii="Times New Roman" w:hAnsi="Times New Roman" w:cs="Times New Roman"/>
          <w:b/>
          <w:bCs/>
        </w:rPr>
        <w:t xml:space="preserve">seotud ka PPA </w:t>
      </w:r>
      <w:r w:rsidR="00A56245">
        <w:rPr>
          <w:rFonts w:ascii="Times New Roman" w:hAnsi="Times New Roman" w:cs="Times New Roman"/>
          <w:b/>
          <w:bCs/>
        </w:rPr>
        <w:t>otseste ülesannetega</w:t>
      </w:r>
      <w:r w:rsidRPr="00F4581D">
        <w:rPr>
          <w:rFonts w:ascii="Times New Roman" w:hAnsi="Times New Roman" w:cs="Times New Roman"/>
          <w:b/>
          <w:bCs/>
        </w:rPr>
        <w:t>;</w:t>
      </w:r>
    </w:p>
    <w:p w14:paraId="651B7C04" w14:textId="03A2C06E" w:rsidR="004E5EBF" w:rsidRPr="00F4581D" w:rsidRDefault="00E46057" w:rsidP="00500FE1">
      <w:pPr>
        <w:pStyle w:val="ListParagraph"/>
        <w:numPr>
          <w:ilvl w:val="0"/>
          <w:numId w:val="1"/>
        </w:numPr>
        <w:spacing w:after="0" w:line="240" w:lineRule="auto"/>
        <w:jc w:val="both"/>
        <w:rPr>
          <w:rFonts w:ascii="Times New Roman" w:hAnsi="Times New Roman" w:cs="Times New Roman"/>
          <w:b/>
          <w:bCs/>
        </w:rPr>
      </w:pPr>
      <w:r w:rsidRPr="00F4581D">
        <w:rPr>
          <w:rFonts w:ascii="Times New Roman" w:hAnsi="Times New Roman" w:cs="Times New Roman"/>
          <w:b/>
          <w:bCs/>
        </w:rPr>
        <w:t>toetame füüsiliste isikute õiguste tagamist ja andmejälgija kasutu</w:t>
      </w:r>
      <w:r w:rsidR="00DD67F9">
        <w:rPr>
          <w:rFonts w:ascii="Times New Roman" w:hAnsi="Times New Roman" w:cs="Times New Roman"/>
          <w:b/>
          <w:bCs/>
        </w:rPr>
        <w:t>se</w:t>
      </w:r>
      <w:r w:rsidRPr="00F4581D">
        <w:rPr>
          <w:rFonts w:ascii="Times New Roman" w:hAnsi="Times New Roman" w:cs="Times New Roman"/>
          <w:b/>
          <w:bCs/>
        </w:rPr>
        <w:t xml:space="preserve">le võtmist, kuid </w:t>
      </w:r>
      <w:r w:rsidR="00FB49D9">
        <w:rPr>
          <w:rFonts w:ascii="Times New Roman" w:hAnsi="Times New Roman" w:cs="Times New Roman"/>
          <w:b/>
          <w:bCs/>
        </w:rPr>
        <w:t xml:space="preserve">rõhutame, et </w:t>
      </w:r>
      <w:r w:rsidRPr="00F4581D">
        <w:rPr>
          <w:rFonts w:ascii="Times New Roman" w:hAnsi="Times New Roman" w:cs="Times New Roman"/>
          <w:b/>
          <w:bCs/>
        </w:rPr>
        <w:t>see protsess peaks olema kooskõlas andmejälgija teekaardistuse protsessiga, mille raames analüüsitakse kõiki muid võimalikke andmejälgija kasutuselevõtmise võimalusi.</w:t>
      </w:r>
      <w:r w:rsidR="0010232D" w:rsidRPr="0010232D">
        <w:t xml:space="preserve"> </w:t>
      </w:r>
      <w:r w:rsidR="0010232D">
        <w:rPr>
          <w:rFonts w:ascii="Times New Roman" w:hAnsi="Times New Roman" w:cs="Times New Roman"/>
          <w:b/>
          <w:bCs/>
        </w:rPr>
        <w:t>Samuti luuakse</w:t>
      </w:r>
      <w:r w:rsidR="00FB49D9">
        <w:rPr>
          <w:rFonts w:ascii="Times New Roman" w:hAnsi="Times New Roman" w:cs="Times New Roman"/>
          <w:b/>
          <w:bCs/>
        </w:rPr>
        <w:t xml:space="preserve"> käesolevalt</w:t>
      </w:r>
      <w:r w:rsidR="0010232D">
        <w:rPr>
          <w:rFonts w:ascii="Times New Roman" w:hAnsi="Times New Roman" w:cs="Times New Roman"/>
          <w:b/>
          <w:bCs/>
        </w:rPr>
        <w:t xml:space="preserve"> pretsedent, kui seni</w:t>
      </w:r>
      <w:r w:rsidR="0010232D" w:rsidRPr="0010232D">
        <w:rPr>
          <w:rFonts w:ascii="Times New Roman" w:hAnsi="Times New Roman" w:cs="Times New Roman"/>
          <w:b/>
          <w:bCs/>
        </w:rPr>
        <w:t xml:space="preserve"> on tehniliselt andmejälgija paigaldatud andmeid väljastavasse </w:t>
      </w:r>
      <w:r w:rsidR="0010232D">
        <w:rPr>
          <w:rFonts w:ascii="Times New Roman" w:hAnsi="Times New Roman" w:cs="Times New Roman"/>
          <w:b/>
          <w:bCs/>
        </w:rPr>
        <w:t>andmekogusse</w:t>
      </w:r>
      <w:r w:rsidR="0010232D" w:rsidRPr="0010232D">
        <w:rPr>
          <w:rFonts w:ascii="Times New Roman" w:hAnsi="Times New Roman" w:cs="Times New Roman"/>
          <w:b/>
          <w:bCs/>
        </w:rPr>
        <w:t xml:space="preserve">, </w:t>
      </w:r>
      <w:r w:rsidR="0010232D">
        <w:rPr>
          <w:rFonts w:ascii="Times New Roman" w:hAnsi="Times New Roman" w:cs="Times New Roman"/>
          <w:b/>
          <w:bCs/>
        </w:rPr>
        <w:t xml:space="preserve">siis eelnõuga luuakse esmakordselt kohustus arendada andmejälgija </w:t>
      </w:r>
      <w:r w:rsidR="0010232D" w:rsidRPr="0010232D">
        <w:rPr>
          <w:rFonts w:ascii="Times New Roman" w:hAnsi="Times New Roman" w:cs="Times New Roman"/>
          <w:b/>
          <w:bCs/>
        </w:rPr>
        <w:t>kasutaja infosüsteemi.</w:t>
      </w:r>
    </w:p>
    <w:p w14:paraId="4671F7D6" w14:textId="77777777" w:rsidR="003A4166" w:rsidRDefault="003A4166" w:rsidP="003A4166">
      <w:pPr>
        <w:spacing w:after="0" w:line="240" w:lineRule="auto"/>
        <w:jc w:val="both"/>
        <w:rPr>
          <w:rFonts w:ascii="Times New Roman" w:hAnsi="Times New Roman" w:cs="Times New Roman"/>
        </w:rPr>
      </w:pPr>
    </w:p>
    <w:p w14:paraId="0DAEA5A0" w14:textId="2EDE8EE9" w:rsidR="00F4702E" w:rsidRPr="00DE3EFC" w:rsidRDefault="00D27C2C" w:rsidP="003A4166">
      <w:pPr>
        <w:spacing w:after="0" w:line="240" w:lineRule="auto"/>
        <w:jc w:val="both"/>
        <w:rPr>
          <w:rFonts w:ascii="Times New Roman" w:hAnsi="Times New Roman" w:cs="Times New Roman"/>
        </w:rPr>
      </w:pPr>
      <w:r>
        <w:rPr>
          <w:rFonts w:ascii="Times New Roman" w:hAnsi="Times New Roman" w:cs="Times New Roman"/>
        </w:rPr>
        <w:t>Pikemalt l</w:t>
      </w:r>
      <w:r w:rsidR="00F4702E" w:rsidRPr="00DE3EFC">
        <w:rPr>
          <w:rFonts w:ascii="Times New Roman" w:hAnsi="Times New Roman" w:cs="Times New Roman"/>
        </w:rPr>
        <w:t>ahendusettepaneku</w:t>
      </w:r>
      <w:r>
        <w:rPr>
          <w:rFonts w:ascii="Times New Roman" w:hAnsi="Times New Roman" w:cs="Times New Roman"/>
        </w:rPr>
        <w:t>te</w:t>
      </w:r>
      <w:r w:rsidR="00F4702E" w:rsidRPr="00DE3EFC">
        <w:rPr>
          <w:rFonts w:ascii="Times New Roman" w:hAnsi="Times New Roman" w:cs="Times New Roman"/>
        </w:rPr>
        <w:t xml:space="preserve"> kohta:</w:t>
      </w:r>
    </w:p>
    <w:p w14:paraId="0AE84ACD" w14:textId="77777777" w:rsidR="003A4166" w:rsidRDefault="003A4166" w:rsidP="003A4166">
      <w:pPr>
        <w:spacing w:after="0" w:line="240" w:lineRule="auto"/>
        <w:jc w:val="both"/>
        <w:rPr>
          <w:rFonts w:ascii="Times New Roman" w:hAnsi="Times New Roman" w:cs="Times New Roman"/>
          <w:b/>
          <w:bCs/>
        </w:rPr>
      </w:pPr>
    </w:p>
    <w:p w14:paraId="54AD01EE" w14:textId="323F2714" w:rsidR="00F4581D" w:rsidRPr="0015697C" w:rsidRDefault="00F4702E" w:rsidP="0015697C">
      <w:pPr>
        <w:pStyle w:val="ListParagraph"/>
        <w:numPr>
          <w:ilvl w:val="0"/>
          <w:numId w:val="2"/>
        </w:numPr>
        <w:spacing w:after="0" w:line="240" w:lineRule="auto"/>
        <w:jc w:val="both"/>
        <w:rPr>
          <w:rFonts w:ascii="Times New Roman" w:hAnsi="Times New Roman" w:cs="Times New Roman"/>
        </w:rPr>
      </w:pPr>
      <w:r w:rsidRPr="0015697C">
        <w:rPr>
          <w:rFonts w:ascii="Times New Roman" w:hAnsi="Times New Roman" w:cs="Times New Roman"/>
          <w:b/>
          <w:bCs/>
        </w:rPr>
        <w:t xml:space="preserve">Eelnõu </w:t>
      </w:r>
      <w:r w:rsidR="00FD3487" w:rsidRPr="0015697C">
        <w:rPr>
          <w:rFonts w:ascii="Times New Roman" w:hAnsi="Times New Roman" w:cs="Times New Roman"/>
          <w:b/>
          <w:bCs/>
        </w:rPr>
        <w:t xml:space="preserve">§ 1 </w:t>
      </w:r>
      <w:r w:rsidRPr="0015697C">
        <w:rPr>
          <w:rFonts w:ascii="Times New Roman" w:hAnsi="Times New Roman" w:cs="Times New Roman"/>
          <w:b/>
          <w:bCs/>
        </w:rPr>
        <w:t>punktiga 1</w:t>
      </w:r>
      <w:r w:rsidRPr="0015697C">
        <w:rPr>
          <w:rFonts w:ascii="Times New Roman" w:hAnsi="Times New Roman" w:cs="Times New Roman"/>
        </w:rPr>
        <w:t xml:space="preserve"> </w:t>
      </w:r>
      <w:r w:rsidR="00007B5F" w:rsidRPr="0015697C">
        <w:rPr>
          <w:rFonts w:ascii="Times New Roman" w:hAnsi="Times New Roman" w:cs="Times New Roman"/>
        </w:rPr>
        <w:t>tekitatakse kohustus</w:t>
      </w:r>
      <w:r w:rsidRPr="0015697C">
        <w:rPr>
          <w:rFonts w:ascii="Times New Roman" w:hAnsi="Times New Roman" w:cs="Times New Roman"/>
        </w:rPr>
        <w:t xml:space="preserve"> (</w:t>
      </w:r>
      <w:r w:rsidR="00494D99" w:rsidRPr="002C36DD">
        <w:rPr>
          <w:rFonts w:ascii="Times New Roman" w:hAnsi="Times New Roman" w:cs="Times New Roman"/>
          <w:i/>
          <w:iCs/>
        </w:rPr>
        <w:t xml:space="preserve">eelnõu </w:t>
      </w:r>
      <w:r w:rsidRPr="002C36DD">
        <w:rPr>
          <w:rFonts w:ascii="Times New Roman" w:hAnsi="Times New Roman" w:cs="Times New Roman"/>
          <w:i/>
          <w:iCs/>
        </w:rPr>
        <w:t>§ 63 lg 2 täiendus</w:t>
      </w:r>
      <w:r w:rsidRPr="0015697C">
        <w:rPr>
          <w:rFonts w:ascii="Times New Roman" w:hAnsi="Times New Roman" w:cs="Times New Roman"/>
        </w:rPr>
        <w:t xml:space="preserve">) </w:t>
      </w:r>
      <w:proofErr w:type="spellStart"/>
      <w:r w:rsidRPr="0015697C">
        <w:rPr>
          <w:rFonts w:ascii="Times New Roman" w:hAnsi="Times New Roman" w:cs="Times New Roman"/>
        </w:rPr>
        <w:t>liidestada</w:t>
      </w:r>
      <w:proofErr w:type="spellEnd"/>
      <w:r w:rsidRPr="0015697C">
        <w:rPr>
          <w:rFonts w:ascii="Times New Roman" w:hAnsi="Times New Roman" w:cs="Times New Roman"/>
        </w:rPr>
        <w:t xml:space="preserve"> täitmisregistriga liitumiseks asutuse enda infosüsteem andmejälgija teenusega, et täitmisregistri vahendusel esitatud päringute infot isikutele kuvada. </w:t>
      </w:r>
      <w:r w:rsidR="003A4166" w:rsidRPr="0015697C">
        <w:rPr>
          <w:rFonts w:ascii="Times New Roman" w:hAnsi="Times New Roman" w:cs="Times New Roman"/>
        </w:rPr>
        <w:t>J</w:t>
      </w:r>
      <w:r w:rsidR="00F652E5" w:rsidRPr="0015697C">
        <w:rPr>
          <w:rFonts w:ascii="Times New Roman" w:hAnsi="Times New Roman" w:cs="Times New Roman"/>
        </w:rPr>
        <w:t xml:space="preserve">uhime tähelepanu, et eelnõu paneb asutustele kohustuse võtta andmejälgija kasutusele ilma, et andmejälgija rakendamise põhimõtted ja nõuded oleksid üleriigiliselt kokku lepitud ja vajalikul tasemel õigusaktides kehtestatud. Eelnõuga kavandatud lahendus ei ühti ka </w:t>
      </w:r>
      <w:r w:rsidR="00F4581D" w:rsidRPr="0015697C">
        <w:rPr>
          <w:rFonts w:ascii="Times New Roman" w:hAnsi="Times New Roman" w:cs="Times New Roman"/>
        </w:rPr>
        <w:t>Riigi Infosüsteemi Ameti</w:t>
      </w:r>
      <w:r w:rsidR="00F652E5" w:rsidRPr="0015697C">
        <w:rPr>
          <w:rFonts w:ascii="Times New Roman" w:hAnsi="Times New Roman" w:cs="Times New Roman"/>
        </w:rPr>
        <w:t xml:space="preserve"> andmejälgija senise loogika ega avaliku sektori asutustele (</w:t>
      </w:r>
      <w:r w:rsidR="00AC039C" w:rsidRPr="0015697C">
        <w:rPr>
          <w:rFonts w:ascii="Times New Roman" w:hAnsi="Times New Roman" w:cs="Times New Roman"/>
          <w:i/>
          <w:iCs/>
        </w:rPr>
        <w:t>mh</w:t>
      </w:r>
      <w:r w:rsidR="00F652E5" w:rsidRPr="0015697C">
        <w:rPr>
          <w:rFonts w:ascii="Times New Roman" w:hAnsi="Times New Roman" w:cs="Times New Roman"/>
          <w:i/>
          <w:iCs/>
        </w:rPr>
        <w:t xml:space="preserve"> erinevates töörühmades</w:t>
      </w:r>
      <w:r w:rsidR="00F652E5" w:rsidRPr="0015697C">
        <w:rPr>
          <w:rFonts w:ascii="Times New Roman" w:hAnsi="Times New Roman" w:cs="Times New Roman"/>
        </w:rPr>
        <w:t xml:space="preserve">) antud suunistega. Seni ei ole andmejälgija rakendamine olnud asutustele kohustuslik. </w:t>
      </w:r>
      <w:r w:rsidR="006F37D5" w:rsidRPr="0015697C">
        <w:rPr>
          <w:rFonts w:ascii="Times New Roman" w:hAnsi="Times New Roman" w:cs="Times New Roman"/>
        </w:rPr>
        <w:t xml:space="preserve">Muutes andmejälgija rakendamise kohustuslikuks </w:t>
      </w:r>
      <w:r w:rsidR="00F652E5" w:rsidRPr="0015697C">
        <w:rPr>
          <w:rFonts w:ascii="Times New Roman" w:hAnsi="Times New Roman" w:cs="Times New Roman"/>
        </w:rPr>
        <w:t>täitmisregistri ja pangasaladuse päringu</w:t>
      </w:r>
      <w:r w:rsidR="00CD7711" w:rsidRPr="0015697C">
        <w:rPr>
          <w:rFonts w:ascii="Times New Roman" w:hAnsi="Times New Roman" w:cs="Times New Roman"/>
        </w:rPr>
        <w:t xml:space="preserve">te korral oleks meie hinnangul </w:t>
      </w:r>
      <w:r w:rsidR="00CD7711" w:rsidRPr="0015697C">
        <w:rPr>
          <w:rFonts w:ascii="Times New Roman" w:hAnsi="Times New Roman" w:cs="Times New Roman"/>
        </w:rPr>
        <w:t>eelnevalt ühtlustatud täpsed nõuded hädavajalikud</w:t>
      </w:r>
      <w:r w:rsidR="00CD7711" w:rsidRPr="0015697C">
        <w:rPr>
          <w:rFonts w:ascii="Times New Roman" w:hAnsi="Times New Roman" w:cs="Times New Roman"/>
        </w:rPr>
        <w:t>.</w:t>
      </w:r>
      <w:r w:rsidR="00F652E5" w:rsidRPr="0015697C">
        <w:rPr>
          <w:rFonts w:ascii="Times New Roman" w:hAnsi="Times New Roman" w:cs="Times New Roman"/>
        </w:rPr>
        <w:t xml:space="preserve"> </w:t>
      </w:r>
      <w:r w:rsidR="00CD7711" w:rsidRPr="0015697C">
        <w:rPr>
          <w:rFonts w:ascii="Times New Roman" w:hAnsi="Times New Roman" w:cs="Times New Roman"/>
        </w:rPr>
        <w:t>O</w:t>
      </w:r>
      <w:r w:rsidR="00F652E5" w:rsidRPr="0015697C">
        <w:rPr>
          <w:rFonts w:ascii="Times New Roman" w:hAnsi="Times New Roman" w:cs="Times New Roman"/>
        </w:rPr>
        <w:t>ma eripära tõttu asetab</w:t>
      </w:r>
      <w:r w:rsidR="00CD7711" w:rsidRPr="0015697C">
        <w:rPr>
          <w:rFonts w:ascii="Times New Roman" w:hAnsi="Times New Roman" w:cs="Times New Roman"/>
        </w:rPr>
        <w:t xml:space="preserve"> selline muudatus</w:t>
      </w:r>
      <w:r w:rsidR="00F652E5" w:rsidRPr="0015697C">
        <w:rPr>
          <w:rFonts w:ascii="Times New Roman" w:hAnsi="Times New Roman" w:cs="Times New Roman"/>
        </w:rPr>
        <w:t xml:space="preserve"> IT-arenduste kohustuse ja koormuse mitte ühele nimetatud registri vastutavale töötlejale, vaid mitmetele erinevatele asutustele. </w:t>
      </w:r>
    </w:p>
    <w:p w14:paraId="434DCF7F" w14:textId="77777777" w:rsidR="00F4581D" w:rsidRDefault="00F4581D" w:rsidP="003A4166">
      <w:pPr>
        <w:spacing w:after="0" w:line="240" w:lineRule="auto"/>
        <w:jc w:val="both"/>
        <w:rPr>
          <w:rFonts w:ascii="Times New Roman" w:hAnsi="Times New Roman" w:cs="Times New Roman"/>
        </w:rPr>
      </w:pPr>
    </w:p>
    <w:p w14:paraId="3CA4CB35" w14:textId="628E8C46" w:rsidR="003D3237" w:rsidRDefault="00F652E5" w:rsidP="003D3237">
      <w:pPr>
        <w:spacing w:after="0" w:line="240" w:lineRule="auto"/>
        <w:ind w:left="708" w:firstLine="12"/>
        <w:jc w:val="both"/>
        <w:rPr>
          <w:rFonts w:ascii="Times New Roman" w:hAnsi="Times New Roman" w:cs="Times New Roman"/>
        </w:rPr>
      </w:pPr>
      <w:r w:rsidRPr="00F652E5">
        <w:rPr>
          <w:rFonts w:ascii="Times New Roman" w:hAnsi="Times New Roman" w:cs="Times New Roman"/>
        </w:rPr>
        <w:t xml:space="preserve">Samuti tuleb arvestada, et vastavate arenduste tegemine nõuab asutustelt </w:t>
      </w:r>
      <w:r w:rsidR="0015697C">
        <w:rPr>
          <w:rFonts w:ascii="Times New Roman" w:hAnsi="Times New Roman" w:cs="Times New Roman"/>
        </w:rPr>
        <w:t>täiendavaid</w:t>
      </w:r>
      <w:r w:rsidRPr="00F652E5">
        <w:rPr>
          <w:rFonts w:ascii="Times New Roman" w:hAnsi="Times New Roman" w:cs="Times New Roman"/>
        </w:rPr>
        <w:t xml:space="preserve"> ressursse</w:t>
      </w:r>
      <w:r w:rsidR="00F4581D">
        <w:rPr>
          <w:rFonts w:ascii="Times New Roman" w:hAnsi="Times New Roman" w:cs="Times New Roman"/>
        </w:rPr>
        <w:t xml:space="preserve">, </w:t>
      </w:r>
      <w:r w:rsidRPr="00F652E5">
        <w:rPr>
          <w:rFonts w:ascii="Times New Roman" w:hAnsi="Times New Roman" w:cs="Times New Roman"/>
        </w:rPr>
        <w:t xml:space="preserve">millega </w:t>
      </w:r>
      <w:r w:rsidR="00F4581D">
        <w:rPr>
          <w:rFonts w:ascii="Times New Roman" w:hAnsi="Times New Roman" w:cs="Times New Roman"/>
        </w:rPr>
        <w:t xml:space="preserve">SiM VA ei </w:t>
      </w:r>
      <w:r w:rsidRPr="00F652E5">
        <w:rPr>
          <w:rFonts w:ascii="Times New Roman" w:hAnsi="Times New Roman" w:cs="Times New Roman"/>
        </w:rPr>
        <w:t>ole oma eelarves ning töö- ja arendusplaanides arvestanud. Eelnõuga kavandatud jõustumise ajaks vajalikud arendused valmis saada ei ole meie hinnangul realistlik.</w:t>
      </w:r>
      <w:r w:rsidR="0015697C">
        <w:rPr>
          <w:rFonts w:ascii="Times New Roman" w:hAnsi="Times New Roman" w:cs="Times New Roman"/>
        </w:rPr>
        <w:t xml:space="preserve"> </w:t>
      </w:r>
      <w:r w:rsidRPr="00F652E5">
        <w:rPr>
          <w:rFonts w:ascii="Times New Roman" w:hAnsi="Times New Roman" w:cs="Times New Roman"/>
        </w:rPr>
        <w:t>Täpsemat analüüsi vajalike arenduste mahu ja kulu osas ei ole</w:t>
      </w:r>
      <w:r w:rsidR="0015697C">
        <w:rPr>
          <w:rFonts w:ascii="Times New Roman" w:hAnsi="Times New Roman" w:cs="Times New Roman"/>
        </w:rPr>
        <w:t xml:space="preserve"> aga</w:t>
      </w:r>
      <w:r w:rsidRPr="00F652E5">
        <w:rPr>
          <w:rFonts w:ascii="Times New Roman" w:hAnsi="Times New Roman" w:cs="Times New Roman"/>
        </w:rPr>
        <w:t xml:space="preserve"> niivõrd lühikese tähtaja jooksul võimalik teha ja kirjeldada. </w:t>
      </w:r>
      <w:r w:rsidR="00F4581D">
        <w:rPr>
          <w:rFonts w:ascii="Times New Roman" w:hAnsi="Times New Roman" w:cs="Times New Roman"/>
        </w:rPr>
        <w:t>M</w:t>
      </w:r>
      <w:r w:rsidRPr="00F652E5">
        <w:rPr>
          <w:rFonts w:ascii="Times New Roman" w:hAnsi="Times New Roman" w:cs="Times New Roman"/>
        </w:rPr>
        <w:t>ärgime, et need sõltuvad kindlasti sellest, millisel kujul eelnõuga planeeritud kohustus kehtestatakse ja millised saavad olema ühtlustatud nõuded eesmärgi elluviimiseks</w:t>
      </w:r>
      <w:r w:rsidR="00F4581D">
        <w:rPr>
          <w:rFonts w:ascii="Times New Roman" w:hAnsi="Times New Roman" w:cs="Times New Roman"/>
        </w:rPr>
        <w:t xml:space="preserve">, </w:t>
      </w:r>
      <w:r w:rsidRPr="00F652E5">
        <w:rPr>
          <w:rFonts w:ascii="Times New Roman" w:hAnsi="Times New Roman" w:cs="Times New Roman"/>
        </w:rPr>
        <w:t>n</w:t>
      </w:r>
      <w:r w:rsidR="00F4581D">
        <w:rPr>
          <w:rFonts w:ascii="Times New Roman" w:hAnsi="Times New Roman" w:cs="Times New Roman"/>
        </w:rPr>
        <w:t>äi</w:t>
      </w:r>
      <w:r w:rsidRPr="00F652E5">
        <w:rPr>
          <w:rFonts w:ascii="Times New Roman" w:hAnsi="Times New Roman" w:cs="Times New Roman"/>
        </w:rPr>
        <w:t>t</w:t>
      </w:r>
      <w:r w:rsidR="00F4581D">
        <w:rPr>
          <w:rFonts w:ascii="Times New Roman" w:hAnsi="Times New Roman" w:cs="Times New Roman"/>
        </w:rPr>
        <w:t>eks</w:t>
      </w:r>
      <w:r w:rsidRPr="00F652E5">
        <w:rPr>
          <w:rFonts w:ascii="Times New Roman" w:hAnsi="Times New Roman" w:cs="Times New Roman"/>
        </w:rPr>
        <w:t xml:space="preserve"> andmejälgija rakendamine viivitusega lähtuvalt andmesubjektide õiguste</w:t>
      </w:r>
      <w:r w:rsidR="00C673C8">
        <w:rPr>
          <w:rFonts w:ascii="Times New Roman" w:hAnsi="Times New Roman" w:cs="Times New Roman"/>
        </w:rPr>
        <w:t>le kohaldatavatest</w:t>
      </w:r>
      <w:r w:rsidRPr="00F652E5">
        <w:rPr>
          <w:rFonts w:ascii="Times New Roman" w:hAnsi="Times New Roman" w:cs="Times New Roman"/>
        </w:rPr>
        <w:t xml:space="preserve"> piirangutest.</w:t>
      </w:r>
      <w:r w:rsidR="003D3237">
        <w:rPr>
          <w:rFonts w:ascii="Times New Roman" w:hAnsi="Times New Roman" w:cs="Times New Roman"/>
        </w:rPr>
        <w:t xml:space="preserve"> </w:t>
      </w:r>
      <w:r w:rsidR="003D3237" w:rsidRPr="00E16ACE">
        <w:rPr>
          <w:rFonts w:ascii="Times New Roman" w:hAnsi="Times New Roman" w:cs="Times New Roman"/>
          <w:b/>
          <w:bCs/>
          <w:u w:val="single"/>
        </w:rPr>
        <w:t>Tulenevalt eelnevast teeme ettepaneku pikendada eelnõu kooskõlastamise tähtaega 30. septembrini, et võimaldada vajalike analüüside ja hinnangute koostamine.</w:t>
      </w:r>
    </w:p>
    <w:p w14:paraId="03C938D1" w14:textId="77777777" w:rsidR="008B1091" w:rsidRDefault="008B1091" w:rsidP="003A4166">
      <w:pPr>
        <w:spacing w:after="0" w:line="240" w:lineRule="auto"/>
        <w:jc w:val="both"/>
        <w:rPr>
          <w:rFonts w:ascii="Times New Roman" w:hAnsi="Times New Roman" w:cs="Times New Roman"/>
        </w:rPr>
      </w:pPr>
    </w:p>
    <w:p w14:paraId="075F225B" w14:textId="5398ABA2" w:rsidR="006270CC" w:rsidRDefault="008B1091" w:rsidP="003D3237">
      <w:pPr>
        <w:spacing w:after="0" w:line="240" w:lineRule="auto"/>
        <w:ind w:left="720"/>
        <w:jc w:val="both"/>
        <w:rPr>
          <w:rFonts w:ascii="Times New Roman" w:hAnsi="Times New Roman" w:cs="Times New Roman"/>
        </w:rPr>
      </w:pPr>
      <w:r>
        <w:rPr>
          <w:rFonts w:ascii="Times New Roman" w:eastAsia="Times New Roman" w:hAnsi="Times New Roman" w:cs="Times New Roman"/>
          <w:kern w:val="0"/>
          <w:lang w:val="et"/>
          <w14:ligatures w14:val="none"/>
        </w:rPr>
        <w:t xml:space="preserve">Lisaks palume täpsustada, kes on kavandatud </w:t>
      </w:r>
      <w:r w:rsidR="001422DE">
        <w:rPr>
          <w:rFonts w:ascii="Times New Roman" w:eastAsia="Times New Roman" w:hAnsi="Times New Roman" w:cs="Times New Roman"/>
          <w:kern w:val="0"/>
          <w:lang w:val="et"/>
          <w14:ligatures w14:val="none"/>
        </w:rPr>
        <w:t>regulatsioonis</w:t>
      </w:r>
      <w:r>
        <w:rPr>
          <w:rFonts w:ascii="Times New Roman" w:eastAsia="Times New Roman" w:hAnsi="Times New Roman" w:cs="Times New Roman"/>
          <w:kern w:val="0"/>
          <w:lang w:val="et"/>
          <w14:ligatures w14:val="none"/>
        </w:rPr>
        <w:t xml:space="preserve"> </w:t>
      </w:r>
      <w:r w:rsidR="001422DE">
        <w:rPr>
          <w:rFonts w:ascii="Times New Roman" w:eastAsia="Times New Roman" w:hAnsi="Times New Roman" w:cs="Times New Roman"/>
          <w:kern w:val="0"/>
          <w:lang w:val="et"/>
          <w14:ligatures w14:val="none"/>
        </w:rPr>
        <w:t>„</w:t>
      </w:r>
      <w:r>
        <w:rPr>
          <w:rFonts w:ascii="Times New Roman" w:eastAsia="Times New Roman" w:hAnsi="Times New Roman" w:cs="Times New Roman"/>
          <w:kern w:val="0"/>
          <w:lang w:val="et"/>
          <w14:ligatures w14:val="none"/>
        </w:rPr>
        <w:t>täitmisregistris liituda sooviv kasutaja</w:t>
      </w:r>
      <w:r w:rsidR="001422DE">
        <w:rPr>
          <w:rFonts w:ascii="Times New Roman" w:eastAsia="Times New Roman" w:hAnsi="Times New Roman" w:cs="Times New Roman"/>
          <w:kern w:val="0"/>
          <w:lang w:val="et"/>
          <w14:ligatures w14:val="none"/>
        </w:rPr>
        <w:t>“</w:t>
      </w:r>
      <w:r>
        <w:rPr>
          <w:rFonts w:ascii="Times New Roman" w:eastAsia="Times New Roman" w:hAnsi="Times New Roman" w:cs="Times New Roman"/>
          <w:kern w:val="0"/>
          <w:lang w:val="et"/>
          <w14:ligatures w14:val="none"/>
        </w:rPr>
        <w:t xml:space="preserve">. Sellist õiguslikku terminit hetkel seaduses ei ole ning tavapäraselt peaks olema see täitmisregistri volitatud töötleja või andmete ühekordse kasutamise põhimõtet rakendades muu avaliku võimu andmekogu või asutus. </w:t>
      </w:r>
      <w:r w:rsidR="003D3237">
        <w:rPr>
          <w:rFonts w:ascii="Times New Roman" w:eastAsia="Times New Roman" w:hAnsi="Times New Roman" w:cs="Times New Roman"/>
          <w:kern w:val="0"/>
          <w:lang w:val="et"/>
          <w14:ligatures w14:val="none"/>
        </w:rPr>
        <w:t>S</w:t>
      </w:r>
      <w:r w:rsidR="001422DE">
        <w:rPr>
          <w:rFonts w:ascii="Times New Roman" w:eastAsia="Times New Roman" w:hAnsi="Times New Roman" w:cs="Times New Roman"/>
          <w:kern w:val="0"/>
          <w:lang w:val="et"/>
          <w14:ligatures w14:val="none"/>
        </w:rPr>
        <w:t>amas eelnõu punktis</w:t>
      </w:r>
      <w:r w:rsidR="003D3237">
        <w:rPr>
          <w:rFonts w:ascii="Times New Roman" w:eastAsia="Times New Roman" w:hAnsi="Times New Roman" w:cs="Times New Roman"/>
          <w:kern w:val="0"/>
          <w:lang w:val="et"/>
          <w14:ligatures w14:val="none"/>
        </w:rPr>
        <w:t xml:space="preserve"> on</w:t>
      </w:r>
      <w:r>
        <w:rPr>
          <w:rFonts w:ascii="Times New Roman" w:eastAsia="Times New Roman" w:hAnsi="Times New Roman" w:cs="Times New Roman"/>
          <w:kern w:val="0"/>
          <w:lang w:val="et"/>
          <w14:ligatures w14:val="none"/>
        </w:rPr>
        <w:t xml:space="preserve"> </w:t>
      </w:r>
      <w:r w:rsidR="003D3237">
        <w:rPr>
          <w:rFonts w:ascii="Times New Roman" w:eastAsia="Times New Roman" w:hAnsi="Times New Roman" w:cs="Times New Roman"/>
          <w:kern w:val="0"/>
          <w:lang w:val="et"/>
          <w14:ligatures w14:val="none"/>
        </w:rPr>
        <w:t xml:space="preserve">ka </w:t>
      </w:r>
      <w:r>
        <w:rPr>
          <w:rFonts w:ascii="Times New Roman" w:eastAsia="Times New Roman" w:hAnsi="Times New Roman" w:cs="Times New Roman"/>
          <w:kern w:val="0"/>
          <w:lang w:val="et"/>
          <w14:ligatures w14:val="none"/>
        </w:rPr>
        <w:t>viimases lauses kirjeldatud „isikut“</w:t>
      </w:r>
      <w:r w:rsidR="001422DE">
        <w:rPr>
          <w:rFonts w:ascii="Times New Roman" w:eastAsia="Times New Roman" w:hAnsi="Times New Roman" w:cs="Times New Roman"/>
          <w:kern w:val="0"/>
          <w:lang w:val="et"/>
          <w14:ligatures w14:val="none"/>
        </w:rPr>
        <w:t xml:space="preserve"> – tekib küsimus,</w:t>
      </w:r>
      <w:r>
        <w:rPr>
          <w:rFonts w:ascii="Times New Roman" w:eastAsia="Times New Roman" w:hAnsi="Times New Roman" w:cs="Times New Roman"/>
          <w:kern w:val="0"/>
          <w:lang w:val="et"/>
          <w14:ligatures w14:val="none"/>
        </w:rPr>
        <w:t xml:space="preserve"> kas tegemist on füüsilise isikuga, kellele laienevad isikuandmete kaitse </w:t>
      </w:r>
      <w:proofErr w:type="spellStart"/>
      <w:r>
        <w:rPr>
          <w:rFonts w:ascii="Times New Roman" w:eastAsia="Times New Roman" w:hAnsi="Times New Roman" w:cs="Times New Roman"/>
          <w:kern w:val="0"/>
          <w:lang w:val="et"/>
          <w14:ligatures w14:val="none"/>
        </w:rPr>
        <w:t>üldmäärusest</w:t>
      </w:r>
      <w:proofErr w:type="spellEnd"/>
      <w:r>
        <w:rPr>
          <w:rFonts w:ascii="Times New Roman" w:eastAsia="Times New Roman" w:hAnsi="Times New Roman" w:cs="Times New Roman"/>
          <w:kern w:val="0"/>
          <w:lang w:val="et"/>
          <w14:ligatures w14:val="none"/>
        </w:rPr>
        <w:t xml:space="preserve"> </w:t>
      </w:r>
      <w:r w:rsidR="006337E9">
        <w:rPr>
          <w:rFonts w:ascii="Times New Roman" w:eastAsia="Times New Roman" w:hAnsi="Times New Roman" w:cs="Times New Roman"/>
          <w:kern w:val="0"/>
          <w:lang w:val="et"/>
          <w14:ligatures w14:val="none"/>
        </w:rPr>
        <w:t xml:space="preserve">(edaspidi </w:t>
      </w:r>
      <w:r w:rsidR="006337E9" w:rsidRPr="00FA3224">
        <w:rPr>
          <w:rFonts w:ascii="Times New Roman" w:eastAsia="Times New Roman" w:hAnsi="Times New Roman" w:cs="Times New Roman"/>
          <w:i/>
          <w:iCs/>
          <w:kern w:val="0"/>
          <w:lang w:val="et"/>
          <w14:ligatures w14:val="none"/>
        </w:rPr>
        <w:t>IKÜM</w:t>
      </w:r>
      <w:r w:rsidR="006337E9">
        <w:rPr>
          <w:rFonts w:ascii="Times New Roman" w:eastAsia="Times New Roman" w:hAnsi="Times New Roman" w:cs="Times New Roman"/>
          <w:kern w:val="0"/>
          <w:lang w:val="et"/>
          <w14:ligatures w14:val="none"/>
        </w:rPr>
        <w:t xml:space="preserve">) </w:t>
      </w:r>
      <w:r>
        <w:rPr>
          <w:rFonts w:ascii="Times New Roman" w:eastAsia="Times New Roman" w:hAnsi="Times New Roman" w:cs="Times New Roman"/>
          <w:kern w:val="0"/>
          <w:lang w:val="et"/>
          <w14:ligatures w14:val="none"/>
        </w:rPr>
        <w:t>tulenevad nõuded või ka juriidilise isikuga, kelle kohta andmeid on päritud</w:t>
      </w:r>
      <w:r w:rsidR="001422DE">
        <w:rPr>
          <w:rFonts w:ascii="Times New Roman" w:eastAsia="Times New Roman" w:hAnsi="Times New Roman" w:cs="Times New Roman"/>
          <w:kern w:val="0"/>
          <w:lang w:val="et"/>
          <w14:ligatures w14:val="none"/>
        </w:rPr>
        <w:t>. Kui eesmärk on kaitsta üksnes füüsilisi isikuid, siis peaks see ka sättest välja tulema.</w:t>
      </w:r>
      <w:r w:rsidR="003D3237">
        <w:rPr>
          <w:rFonts w:ascii="Times New Roman" w:eastAsia="Times New Roman" w:hAnsi="Times New Roman" w:cs="Times New Roman"/>
          <w:kern w:val="0"/>
          <w:lang w:val="et"/>
          <w14:ligatures w14:val="none"/>
        </w:rPr>
        <w:t xml:space="preserve"> </w:t>
      </w:r>
      <w:r w:rsidR="003D3237" w:rsidRPr="00E16ACE">
        <w:rPr>
          <w:rFonts w:ascii="Times New Roman" w:eastAsia="Times New Roman" w:hAnsi="Times New Roman" w:cs="Times New Roman"/>
          <w:b/>
          <w:bCs/>
          <w:kern w:val="0"/>
          <w:u w:val="single"/>
          <w:lang w:val="et"/>
          <w14:ligatures w14:val="none"/>
        </w:rPr>
        <w:t xml:space="preserve">Tulenevalt eelnevast teeme ettepaneku selgitada kasutatud terminite sisu seletuskirjas ning vajadusel täiendada eelnõu. Lisaks </w:t>
      </w:r>
      <w:r w:rsidR="006270CC" w:rsidRPr="00E16ACE">
        <w:rPr>
          <w:rFonts w:ascii="Times New Roman" w:hAnsi="Times New Roman" w:cs="Times New Roman"/>
          <w:b/>
          <w:bCs/>
          <w:u w:val="single"/>
        </w:rPr>
        <w:t>palume seletuskirjast välja jätta termin „töö- või infosüsteem“</w:t>
      </w:r>
      <w:r w:rsidR="006270CC" w:rsidRPr="00E16ACE">
        <w:rPr>
          <w:rFonts w:ascii="Times New Roman" w:hAnsi="Times New Roman" w:cs="Times New Roman"/>
          <w:u w:val="single"/>
        </w:rPr>
        <w:t>.</w:t>
      </w:r>
    </w:p>
    <w:p w14:paraId="093D6B02" w14:textId="77777777" w:rsidR="006337E9" w:rsidRDefault="006337E9" w:rsidP="003A4166">
      <w:pPr>
        <w:spacing w:after="0" w:line="240" w:lineRule="auto"/>
        <w:jc w:val="both"/>
        <w:rPr>
          <w:rFonts w:ascii="Times New Roman" w:hAnsi="Times New Roman" w:cs="Times New Roman"/>
        </w:rPr>
      </w:pPr>
    </w:p>
    <w:p w14:paraId="704881B2" w14:textId="1CBF8DA2" w:rsidR="006337E9" w:rsidRDefault="002C36DD" w:rsidP="002C36DD">
      <w:pPr>
        <w:spacing w:after="0" w:line="240" w:lineRule="auto"/>
        <w:ind w:left="708"/>
        <w:jc w:val="both"/>
        <w:rPr>
          <w:rFonts w:ascii="Times New Roman" w:eastAsia="Times New Roman" w:hAnsi="Times New Roman" w:cs="Times New Roman"/>
          <w:kern w:val="0"/>
          <w:lang w:val="et"/>
          <w14:ligatures w14:val="none"/>
        </w:rPr>
      </w:pPr>
      <w:r w:rsidRPr="002C36DD">
        <w:rPr>
          <w:rFonts w:ascii="Times New Roman" w:eastAsia="Times New Roman" w:hAnsi="Times New Roman" w:cs="Times New Roman"/>
          <w:kern w:val="0"/>
          <w:lang w:val="et"/>
          <w14:ligatures w14:val="none"/>
        </w:rPr>
        <w:t>Lisaks teeme</w:t>
      </w:r>
      <w:r w:rsidR="006337E9" w:rsidRPr="002C36DD">
        <w:rPr>
          <w:rFonts w:ascii="Times New Roman" w:eastAsia="Times New Roman" w:hAnsi="Times New Roman" w:cs="Times New Roman"/>
          <w:kern w:val="0"/>
          <w:lang w:val="et"/>
          <w14:ligatures w14:val="none"/>
        </w:rPr>
        <w:t xml:space="preserve"> ettepaneku täiendada eelnõu § 1 punkti 1 sõnastust klausliga, mis arvestab avaliku teabe seaduse (edaspidi </w:t>
      </w:r>
      <w:proofErr w:type="spellStart"/>
      <w:r w:rsidR="006337E9" w:rsidRPr="002C36DD">
        <w:rPr>
          <w:rFonts w:ascii="Times New Roman" w:eastAsia="Times New Roman" w:hAnsi="Times New Roman" w:cs="Times New Roman"/>
          <w:kern w:val="0"/>
          <w:lang w:val="et"/>
          <w14:ligatures w14:val="none"/>
        </w:rPr>
        <w:t>AvTS</w:t>
      </w:r>
      <w:proofErr w:type="spellEnd"/>
      <w:r w:rsidR="006337E9" w:rsidRPr="002C36DD">
        <w:rPr>
          <w:rFonts w:ascii="Times New Roman" w:eastAsia="Times New Roman" w:hAnsi="Times New Roman" w:cs="Times New Roman"/>
          <w:kern w:val="0"/>
          <w:lang w:val="et"/>
          <w14:ligatures w14:val="none"/>
        </w:rPr>
        <w:t>) ja IKS reguleerimisaladega.</w:t>
      </w:r>
      <w:r>
        <w:rPr>
          <w:rFonts w:ascii="Times New Roman" w:eastAsia="Times New Roman" w:hAnsi="Times New Roman" w:cs="Times New Roman"/>
          <w:kern w:val="0"/>
          <w:lang w:val="et"/>
          <w14:ligatures w14:val="none"/>
        </w:rPr>
        <w:t xml:space="preserve"> J</w:t>
      </w:r>
      <w:r w:rsidR="006337E9" w:rsidRPr="006337E9">
        <w:rPr>
          <w:rFonts w:ascii="Times New Roman" w:eastAsia="Times New Roman" w:hAnsi="Times New Roman" w:cs="Times New Roman"/>
          <w:kern w:val="0"/>
          <w:lang w:val="et"/>
          <w14:ligatures w14:val="none"/>
        </w:rPr>
        <w:t xml:space="preserve">uhime tähelepanu, et </w:t>
      </w:r>
      <w:r w:rsidR="00FA3224">
        <w:rPr>
          <w:rFonts w:ascii="Times New Roman" w:eastAsia="Times New Roman" w:hAnsi="Times New Roman" w:cs="Times New Roman"/>
          <w:kern w:val="0"/>
          <w:lang w:val="et"/>
          <w14:ligatures w14:val="none"/>
        </w:rPr>
        <w:t>IKÜM</w:t>
      </w:r>
      <w:r w:rsidR="006337E9" w:rsidRPr="006337E9">
        <w:rPr>
          <w:rFonts w:ascii="Times New Roman" w:eastAsia="Times New Roman" w:hAnsi="Times New Roman" w:cs="Times New Roman"/>
          <w:kern w:val="0"/>
          <w:lang w:val="et"/>
          <w14:ligatures w14:val="none"/>
        </w:rPr>
        <w:t xml:space="preserve"> ja </w:t>
      </w:r>
      <w:r w:rsidR="00FA3224">
        <w:rPr>
          <w:rFonts w:ascii="Times New Roman" w:eastAsia="Times New Roman" w:hAnsi="Times New Roman" w:cs="Times New Roman"/>
          <w:kern w:val="0"/>
          <w:lang w:val="et"/>
          <w14:ligatures w14:val="none"/>
        </w:rPr>
        <w:t>IKS</w:t>
      </w:r>
      <w:r w:rsidR="006337E9" w:rsidRPr="006337E9">
        <w:rPr>
          <w:rFonts w:ascii="Times New Roman" w:eastAsia="Times New Roman" w:hAnsi="Times New Roman" w:cs="Times New Roman"/>
          <w:kern w:val="0"/>
          <w:lang w:val="et"/>
          <w14:ligatures w14:val="none"/>
        </w:rPr>
        <w:t xml:space="preserve"> ei kohaldu riigi julgeoleku eesmärgil isikuandmete töötlemisele (</w:t>
      </w:r>
      <w:r w:rsidR="006337E9" w:rsidRPr="00FA3224">
        <w:rPr>
          <w:rFonts w:ascii="Times New Roman" w:eastAsia="Times New Roman" w:hAnsi="Times New Roman" w:cs="Times New Roman"/>
          <w:i/>
          <w:iCs/>
          <w:kern w:val="0"/>
          <w:lang w:val="et"/>
          <w14:ligatures w14:val="none"/>
        </w:rPr>
        <w:t>IKÜM artikkel 2 punkti 1 alapunkt a, IKS § 1 lg 1 p 1</w:t>
      </w:r>
      <w:r w:rsidR="006337E9" w:rsidRPr="006337E9">
        <w:rPr>
          <w:rFonts w:ascii="Times New Roman" w:eastAsia="Times New Roman" w:hAnsi="Times New Roman" w:cs="Times New Roman"/>
          <w:kern w:val="0"/>
          <w:lang w:val="et"/>
          <w14:ligatures w14:val="none"/>
        </w:rPr>
        <w:t xml:space="preserve">) ning </w:t>
      </w:r>
      <w:proofErr w:type="spellStart"/>
      <w:r w:rsidR="006337E9" w:rsidRPr="006337E9">
        <w:rPr>
          <w:rFonts w:ascii="Times New Roman" w:eastAsia="Times New Roman" w:hAnsi="Times New Roman" w:cs="Times New Roman"/>
          <w:kern w:val="0"/>
          <w:lang w:val="et"/>
          <w14:ligatures w14:val="none"/>
        </w:rPr>
        <w:t>AvTS</w:t>
      </w:r>
      <w:proofErr w:type="spellEnd"/>
      <w:r w:rsidR="006337E9" w:rsidRPr="006337E9">
        <w:rPr>
          <w:rFonts w:ascii="Times New Roman" w:eastAsia="Times New Roman" w:hAnsi="Times New Roman" w:cs="Times New Roman"/>
          <w:kern w:val="0"/>
          <w:lang w:val="et"/>
          <w14:ligatures w14:val="none"/>
        </w:rPr>
        <w:t xml:space="preserve"> § 2 lg 2 p 1 kohaselt ei kohaldata</w:t>
      </w:r>
      <w:r w:rsidR="00FA3224" w:rsidRPr="00FA3224">
        <w:t xml:space="preserve"> </w:t>
      </w:r>
      <w:r w:rsidR="00FA3224" w:rsidRPr="00FA3224">
        <w:rPr>
          <w:rFonts w:ascii="Times New Roman" w:eastAsia="Times New Roman" w:hAnsi="Times New Roman" w:cs="Times New Roman"/>
          <w:kern w:val="0"/>
          <w:lang w:val="et"/>
          <w14:ligatures w14:val="none"/>
        </w:rPr>
        <w:t>avaliku teabe seadus</w:t>
      </w:r>
      <w:r w:rsidR="00FA3224">
        <w:rPr>
          <w:rFonts w:ascii="Times New Roman" w:eastAsia="Times New Roman" w:hAnsi="Times New Roman" w:cs="Times New Roman"/>
          <w:kern w:val="0"/>
          <w:lang w:val="et"/>
          <w14:ligatures w14:val="none"/>
        </w:rPr>
        <w:t xml:space="preserve">t (edaspidi </w:t>
      </w:r>
      <w:proofErr w:type="spellStart"/>
      <w:r w:rsidR="006337E9" w:rsidRPr="00FA3224">
        <w:rPr>
          <w:rFonts w:ascii="Times New Roman" w:eastAsia="Times New Roman" w:hAnsi="Times New Roman" w:cs="Times New Roman"/>
          <w:i/>
          <w:iCs/>
          <w:kern w:val="0"/>
          <w:lang w:val="et"/>
          <w14:ligatures w14:val="none"/>
        </w:rPr>
        <w:t>AvTS</w:t>
      </w:r>
      <w:proofErr w:type="spellEnd"/>
      <w:r w:rsidR="00FA3224">
        <w:rPr>
          <w:rFonts w:ascii="Times New Roman" w:eastAsia="Times New Roman" w:hAnsi="Times New Roman" w:cs="Times New Roman"/>
          <w:kern w:val="0"/>
          <w:lang w:val="et"/>
          <w14:ligatures w14:val="none"/>
        </w:rPr>
        <w:t>)</w:t>
      </w:r>
      <w:r w:rsidR="006337E9" w:rsidRPr="006337E9">
        <w:rPr>
          <w:rFonts w:ascii="Times New Roman" w:eastAsia="Times New Roman" w:hAnsi="Times New Roman" w:cs="Times New Roman"/>
          <w:kern w:val="0"/>
          <w:lang w:val="et"/>
          <w14:ligatures w14:val="none"/>
        </w:rPr>
        <w:t xml:space="preserve"> riigisaladuseks või salastatud välisteabeks oleva teabe suhtes kuni teabe salastatuse kustumiseni. Olukorras, kus </w:t>
      </w:r>
      <w:proofErr w:type="spellStart"/>
      <w:r w:rsidR="006337E9">
        <w:rPr>
          <w:rFonts w:ascii="Times New Roman" w:eastAsia="Times New Roman" w:hAnsi="Times New Roman" w:cs="Times New Roman"/>
          <w:kern w:val="0"/>
          <w:lang w:val="et"/>
          <w14:ligatures w14:val="none"/>
        </w:rPr>
        <w:t>KAPO-l</w:t>
      </w:r>
      <w:proofErr w:type="spellEnd"/>
      <w:r w:rsidR="006337E9" w:rsidRPr="006337E9">
        <w:rPr>
          <w:rFonts w:ascii="Times New Roman" w:eastAsia="Times New Roman" w:hAnsi="Times New Roman" w:cs="Times New Roman"/>
          <w:kern w:val="0"/>
          <w:lang w:val="et"/>
          <w14:ligatures w14:val="none"/>
        </w:rPr>
        <w:t xml:space="preserve"> on õigus saada täitmisregistri kaudu andmeid </w:t>
      </w:r>
      <w:proofErr w:type="spellStart"/>
      <w:r>
        <w:rPr>
          <w:rFonts w:ascii="Times New Roman" w:eastAsia="Times New Roman" w:hAnsi="Times New Roman" w:cs="Times New Roman"/>
          <w:kern w:val="0"/>
          <w:lang w:val="et"/>
          <w14:ligatures w14:val="none"/>
        </w:rPr>
        <w:t>JAS-s</w:t>
      </w:r>
      <w:proofErr w:type="spellEnd"/>
      <w:r>
        <w:rPr>
          <w:rFonts w:ascii="Times New Roman" w:eastAsia="Times New Roman" w:hAnsi="Times New Roman" w:cs="Times New Roman"/>
          <w:kern w:val="0"/>
          <w:lang w:val="et"/>
          <w14:ligatures w14:val="none"/>
        </w:rPr>
        <w:t xml:space="preserve"> </w:t>
      </w:r>
      <w:r w:rsidR="006337E9" w:rsidRPr="006337E9">
        <w:rPr>
          <w:rFonts w:ascii="Times New Roman" w:eastAsia="Times New Roman" w:hAnsi="Times New Roman" w:cs="Times New Roman"/>
          <w:kern w:val="0"/>
          <w:lang w:val="et"/>
          <w14:ligatures w14:val="none"/>
        </w:rPr>
        <w:t>sätestatud ülesannete täitmiseks (</w:t>
      </w:r>
      <w:r w:rsidR="006337E9">
        <w:rPr>
          <w:rFonts w:ascii="Times New Roman" w:eastAsia="Times New Roman" w:hAnsi="Times New Roman" w:cs="Times New Roman"/>
          <w:kern w:val="0"/>
          <w:lang w:val="et"/>
          <w14:ligatures w14:val="none"/>
        </w:rPr>
        <w:t>krediidiasutuste seaduse</w:t>
      </w:r>
      <w:r w:rsidR="006337E9" w:rsidRPr="006337E9">
        <w:rPr>
          <w:rFonts w:ascii="Times New Roman" w:eastAsia="Times New Roman" w:hAnsi="Times New Roman" w:cs="Times New Roman"/>
          <w:kern w:val="0"/>
          <w:lang w:val="et"/>
          <w14:ligatures w14:val="none"/>
        </w:rPr>
        <w:t xml:space="preserve"> § 88 lg 5 p 2), peab täitemenetluse seadustik</w:t>
      </w:r>
      <w:r>
        <w:rPr>
          <w:rFonts w:ascii="Times New Roman" w:eastAsia="Times New Roman" w:hAnsi="Times New Roman" w:cs="Times New Roman"/>
          <w:kern w:val="0"/>
          <w:lang w:val="et"/>
          <w14:ligatures w14:val="none"/>
        </w:rPr>
        <w:t xml:space="preserve"> (edaspidi </w:t>
      </w:r>
      <w:r w:rsidRPr="002C36DD">
        <w:rPr>
          <w:rFonts w:ascii="Times New Roman" w:eastAsia="Times New Roman" w:hAnsi="Times New Roman" w:cs="Times New Roman"/>
          <w:i/>
          <w:iCs/>
          <w:kern w:val="0"/>
          <w:lang w:val="et"/>
          <w14:ligatures w14:val="none"/>
        </w:rPr>
        <w:t>TMS</w:t>
      </w:r>
      <w:r>
        <w:rPr>
          <w:rFonts w:ascii="Times New Roman" w:eastAsia="Times New Roman" w:hAnsi="Times New Roman" w:cs="Times New Roman"/>
          <w:kern w:val="0"/>
          <w:lang w:val="et"/>
          <w14:ligatures w14:val="none"/>
        </w:rPr>
        <w:t>)</w:t>
      </w:r>
      <w:r w:rsidR="006337E9" w:rsidRPr="006337E9">
        <w:rPr>
          <w:rFonts w:ascii="Times New Roman" w:eastAsia="Times New Roman" w:hAnsi="Times New Roman" w:cs="Times New Roman"/>
          <w:kern w:val="0"/>
          <w:lang w:val="et"/>
          <w14:ligatures w14:val="none"/>
        </w:rPr>
        <w:t xml:space="preserve"> arvestama ka viidatud õigusaktide reguleerimisalasid</w:t>
      </w:r>
      <w:r w:rsidR="006337E9" w:rsidRPr="002C36DD">
        <w:rPr>
          <w:rFonts w:ascii="Times New Roman" w:eastAsia="Times New Roman" w:hAnsi="Times New Roman" w:cs="Times New Roman"/>
          <w:b/>
          <w:bCs/>
          <w:kern w:val="0"/>
          <w:lang w:val="et"/>
          <w14:ligatures w14:val="none"/>
        </w:rPr>
        <w:t xml:space="preserve">. </w:t>
      </w:r>
      <w:r w:rsidR="006337E9" w:rsidRPr="00E16ACE">
        <w:rPr>
          <w:rFonts w:ascii="Times New Roman" w:eastAsia="Times New Roman" w:hAnsi="Times New Roman" w:cs="Times New Roman"/>
          <w:b/>
          <w:bCs/>
          <w:kern w:val="0"/>
          <w:u w:val="single"/>
          <w:lang w:val="et"/>
          <w14:ligatures w14:val="none"/>
        </w:rPr>
        <w:t>Seetõttu teeme ettepaneku täiendada ja sõnastada eelnõu § 1 p 1 näiteks järgmiselt</w:t>
      </w:r>
      <w:r w:rsidR="006337E9" w:rsidRPr="00E16ACE">
        <w:rPr>
          <w:rFonts w:ascii="Times New Roman" w:eastAsia="Times New Roman" w:hAnsi="Times New Roman" w:cs="Times New Roman"/>
          <w:kern w:val="0"/>
          <w:u w:val="single"/>
          <w:lang w:val="et"/>
          <w14:ligatures w14:val="none"/>
        </w:rPr>
        <w:t>:</w:t>
      </w:r>
    </w:p>
    <w:p w14:paraId="126649B9" w14:textId="77777777" w:rsidR="006337E9" w:rsidRPr="006337E9" w:rsidRDefault="006337E9" w:rsidP="006337E9">
      <w:pPr>
        <w:spacing w:after="0" w:line="240" w:lineRule="auto"/>
        <w:jc w:val="both"/>
        <w:rPr>
          <w:rFonts w:ascii="Times New Roman" w:eastAsia="Times New Roman" w:hAnsi="Times New Roman" w:cs="Times New Roman"/>
          <w:kern w:val="0"/>
          <w:lang w:val="et"/>
          <w14:ligatures w14:val="none"/>
        </w:rPr>
      </w:pPr>
    </w:p>
    <w:p w14:paraId="4C4A70F3" w14:textId="447FC30F" w:rsidR="006337E9" w:rsidRPr="008B1091" w:rsidRDefault="006337E9" w:rsidP="0015697C">
      <w:pPr>
        <w:spacing w:after="0" w:line="240" w:lineRule="auto"/>
        <w:ind w:left="708" w:firstLine="12"/>
        <w:jc w:val="both"/>
        <w:rPr>
          <w:rFonts w:ascii="Times New Roman" w:eastAsia="Times New Roman" w:hAnsi="Times New Roman" w:cs="Times New Roman"/>
          <w:kern w:val="0"/>
          <w:lang w:val="et"/>
          <w14:ligatures w14:val="none"/>
        </w:rPr>
      </w:pPr>
      <w:r w:rsidRPr="006337E9">
        <w:rPr>
          <w:rFonts w:ascii="Times New Roman" w:eastAsia="Times New Roman" w:hAnsi="Times New Roman" w:cs="Times New Roman"/>
          <w:kern w:val="0"/>
          <w:lang w:val="et"/>
          <w14:ligatures w14:val="none"/>
        </w:rPr>
        <w:t>„</w:t>
      </w:r>
      <w:r w:rsidRPr="002C36DD">
        <w:rPr>
          <w:rFonts w:ascii="Times New Roman" w:eastAsia="Times New Roman" w:hAnsi="Times New Roman" w:cs="Times New Roman"/>
          <w:i/>
          <w:iCs/>
          <w:kern w:val="0"/>
          <w:lang w:val="et"/>
          <w14:ligatures w14:val="none"/>
        </w:rPr>
        <w:t xml:space="preserve">Täitmisregistriga liituda sooviv kasutaja enne täitmisregistriga liitumist </w:t>
      </w:r>
      <w:proofErr w:type="spellStart"/>
      <w:r w:rsidRPr="002C36DD">
        <w:rPr>
          <w:rFonts w:ascii="Times New Roman" w:eastAsia="Times New Roman" w:hAnsi="Times New Roman" w:cs="Times New Roman"/>
          <w:i/>
          <w:iCs/>
          <w:kern w:val="0"/>
          <w:lang w:val="et"/>
          <w14:ligatures w14:val="none"/>
        </w:rPr>
        <w:t>liidestama</w:t>
      </w:r>
      <w:proofErr w:type="spellEnd"/>
      <w:r w:rsidRPr="002C36DD">
        <w:rPr>
          <w:rFonts w:ascii="Times New Roman" w:eastAsia="Times New Roman" w:hAnsi="Times New Roman" w:cs="Times New Roman"/>
          <w:i/>
          <w:iCs/>
          <w:kern w:val="0"/>
          <w:lang w:val="et"/>
          <w14:ligatures w14:val="none"/>
        </w:rPr>
        <w:t xml:space="preserve"> enda infosüsteemi tehnilise lahendusega, mis võimaldab kuvada isikule teavet tema kohta täitmisregistri kaudu tehtud päringute kohta. </w:t>
      </w:r>
      <w:r w:rsidRPr="002C36DD">
        <w:rPr>
          <w:rFonts w:ascii="Times New Roman" w:eastAsia="Times New Roman" w:hAnsi="Times New Roman" w:cs="Times New Roman"/>
          <w:b/>
          <w:bCs/>
          <w:i/>
          <w:iCs/>
          <w:kern w:val="0"/>
          <w:lang w:val="et"/>
          <w14:ligatures w14:val="none"/>
        </w:rPr>
        <w:t>Nimetatud nõuet ei kohaldata isikuandmete kaitset reguleerivatest ja avaliku teabe seaduse kohaldamisalast väljapoole jäävatele andmekogudele</w:t>
      </w:r>
      <w:r w:rsidRPr="006337E9">
        <w:rPr>
          <w:rFonts w:ascii="Times New Roman" w:eastAsia="Times New Roman" w:hAnsi="Times New Roman" w:cs="Times New Roman"/>
          <w:kern w:val="0"/>
          <w:lang w:val="et"/>
          <w14:ligatures w14:val="none"/>
        </w:rPr>
        <w:t>.“.</w:t>
      </w:r>
    </w:p>
    <w:p w14:paraId="20C31615" w14:textId="77777777" w:rsidR="00F652E5" w:rsidRPr="00F652E5" w:rsidRDefault="00F652E5" w:rsidP="003A4166">
      <w:pPr>
        <w:spacing w:after="0" w:line="240" w:lineRule="auto"/>
        <w:jc w:val="both"/>
        <w:rPr>
          <w:rFonts w:ascii="Times New Roman" w:hAnsi="Times New Roman" w:cs="Times New Roman"/>
        </w:rPr>
      </w:pPr>
    </w:p>
    <w:p w14:paraId="5BB2A23A" w14:textId="4EF3DB74" w:rsidR="00F4702E" w:rsidRPr="00F36EEE" w:rsidRDefault="00F4702E" w:rsidP="00F36EEE">
      <w:pPr>
        <w:pStyle w:val="ListParagraph"/>
        <w:numPr>
          <w:ilvl w:val="0"/>
          <w:numId w:val="2"/>
        </w:numPr>
        <w:spacing w:after="0" w:line="240" w:lineRule="auto"/>
        <w:jc w:val="both"/>
        <w:rPr>
          <w:rFonts w:ascii="Times New Roman" w:hAnsi="Times New Roman" w:cs="Times New Roman"/>
        </w:rPr>
      </w:pPr>
      <w:r w:rsidRPr="0015697C">
        <w:rPr>
          <w:rFonts w:ascii="Times New Roman" w:hAnsi="Times New Roman" w:cs="Times New Roman"/>
          <w:b/>
          <w:bCs/>
        </w:rPr>
        <w:t>Eelnõu</w:t>
      </w:r>
      <w:r w:rsidR="00FD3487" w:rsidRPr="0015697C">
        <w:rPr>
          <w:rFonts w:ascii="Times New Roman" w:hAnsi="Times New Roman" w:cs="Times New Roman"/>
          <w:b/>
          <w:bCs/>
        </w:rPr>
        <w:t xml:space="preserve"> § 1</w:t>
      </w:r>
      <w:r w:rsidRPr="0015697C">
        <w:rPr>
          <w:rFonts w:ascii="Times New Roman" w:hAnsi="Times New Roman" w:cs="Times New Roman"/>
          <w:b/>
          <w:bCs/>
        </w:rPr>
        <w:t xml:space="preserve"> punktiga 2</w:t>
      </w:r>
      <w:r w:rsidRPr="0015697C">
        <w:rPr>
          <w:rFonts w:ascii="Times New Roman" w:hAnsi="Times New Roman" w:cs="Times New Roman"/>
        </w:rPr>
        <w:t xml:space="preserve"> lisatakse paragrahvi täiendav lõige 2</w:t>
      </w:r>
      <w:r w:rsidRPr="0015697C">
        <w:rPr>
          <w:rFonts w:ascii="Times New Roman" w:hAnsi="Times New Roman" w:cs="Times New Roman"/>
          <w:vertAlign w:val="superscript"/>
        </w:rPr>
        <w:t xml:space="preserve">1 </w:t>
      </w:r>
      <w:r w:rsidRPr="0015697C">
        <w:rPr>
          <w:rFonts w:ascii="Times New Roman" w:hAnsi="Times New Roman" w:cs="Times New Roman"/>
        </w:rPr>
        <w:t xml:space="preserve">milles sõnastatakse kohustus teha kättesaadavaks krediidi- ja makseasutusele täitmisregistri kaudu päringute tegemise andmed, välja arvatud juhul, kui nimetatud teabe suhtes on seadusega ette nähtud juurdepääsupiirangu alus või andmesubjekti õiguste piirang. </w:t>
      </w:r>
      <w:r w:rsidRPr="00F36EEE">
        <w:rPr>
          <w:rFonts w:ascii="Times New Roman" w:hAnsi="Times New Roman" w:cs="Times New Roman"/>
        </w:rPr>
        <w:t>SiM VA täitmisregistri kasutus seisnebki just nende päringute tegemises vastavalt krediidiasutuste seaduse</w:t>
      </w:r>
      <w:r w:rsidR="00F36EEE" w:rsidRPr="00F36EEE">
        <w:rPr>
          <w:rFonts w:ascii="Times New Roman" w:hAnsi="Times New Roman" w:cs="Times New Roman"/>
        </w:rPr>
        <w:t xml:space="preserve"> (edaspidi </w:t>
      </w:r>
      <w:r w:rsidR="00F36EEE" w:rsidRPr="00F36EEE">
        <w:rPr>
          <w:rFonts w:ascii="Times New Roman" w:hAnsi="Times New Roman" w:cs="Times New Roman"/>
          <w:i/>
          <w:iCs/>
        </w:rPr>
        <w:t>KAS</w:t>
      </w:r>
      <w:r w:rsidR="00F36EEE" w:rsidRPr="00F36EEE">
        <w:rPr>
          <w:rFonts w:ascii="Times New Roman" w:hAnsi="Times New Roman" w:cs="Times New Roman"/>
        </w:rPr>
        <w:t>)</w:t>
      </w:r>
      <w:r w:rsidRPr="00F36EEE">
        <w:rPr>
          <w:rFonts w:ascii="Times New Roman" w:hAnsi="Times New Roman" w:cs="Times New Roman"/>
        </w:rPr>
        <w:t xml:space="preserve"> § 88 lg 5 punktile 2, so alustatud kriminaalmenetluses, sealhulgas </w:t>
      </w:r>
      <w:proofErr w:type="spellStart"/>
      <w:r w:rsidRPr="00F36EEE">
        <w:rPr>
          <w:rFonts w:ascii="Times New Roman" w:hAnsi="Times New Roman" w:cs="Times New Roman"/>
        </w:rPr>
        <w:t>välislepingus</w:t>
      </w:r>
      <w:proofErr w:type="spellEnd"/>
      <w:r w:rsidRPr="00F36EEE">
        <w:rPr>
          <w:rFonts w:ascii="Times New Roman" w:hAnsi="Times New Roman" w:cs="Times New Roman"/>
        </w:rPr>
        <w:t xml:space="preserve"> sätestatud korras välisriigist saabunud õigusabi taotluse alusel või Euroopa Liidu õiguses sätestatud kohustuse täitmiseks </w:t>
      </w:r>
      <w:r w:rsidRPr="00F36EEE">
        <w:rPr>
          <w:rFonts w:ascii="Times New Roman" w:hAnsi="Times New Roman" w:cs="Times New Roman"/>
        </w:rPr>
        <w:lastRenderedPageBreak/>
        <w:t xml:space="preserve">rahvusvahelise konventsiooni või muu </w:t>
      </w:r>
      <w:proofErr w:type="spellStart"/>
      <w:r w:rsidRPr="00F36EEE">
        <w:rPr>
          <w:rFonts w:ascii="Times New Roman" w:hAnsi="Times New Roman" w:cs="Times New Roman"/>
        </w:rPr>
        <w:t>välislepingu</w:t>
      </w:r>
      <w:proofErr w:type="spellEnd"/>
      <w:r w:rsidRPr="00F36EEE">
        <w:rPr>
          <w:rFonts w:ascii="Times New Roman" w:hAnsi="Times New Roman" w:cs="Times New Roman"/>
        </w:rPr>
        <w:t xml:space="preserve"> või politsei või muu sellesarnase pädeva asutuse koostöölepingu täitmiseks. </w:t>
      </w:r>
    </w:p>
    <w:p w14:paraId="19E6740F" w14:textId="77777777" w:rsidR="000B4D44" w:rsidRDefault="000B4D44" w:rsidP="000B4D44">
      <w:pPr>
        <w:pStyle w:val="ListParagraph"/>
        <w:spacing w:after="0" w:line="240" w:lineRule="auto"/>
        <w:jc w:val="both"/>
        <w:rPr>
          <w:rFonts w:ascii="Times New Roman" w:hAnsi="Times New Roman" w:cs="Times New Roman"/>
          <w:b/>
          <w:bCs/>
        </w:rPr>
      </w:pPr>
    </w:p>
    <w:p w14:paraId="45C8F039" w14:textId="56807A73" w:rsidR="000B4D44" w:rsidRPr="000B4D44" w:rsidRDefault="000B4D44" w:rsidP="000B4D44">
      <w:pPr>
        <w:pStyle w:val="ListParagraph"/>
        <w:spacing w:after="0" w:line="240" w:lineRule="auto"/>
        <w:jc w:val="both"/>
        <w:rPr>
          <w:b/>
          <w:bCs/>
        </w:rPr>
      </w:pPr>
      <w:r w:rsidRPr="000B4D44">
        <w:rPr>
          <w:rFonts w:ascii="Times New Roman" w:hAnsi="Times New Roman" w:cs="Times New Roman"/>
          <w:b/>
          <w:bCs/>
        </w:rPr>
        <w:t xml:space="preserve">Andmejälgijasse või muul kujul andmesubjektile tema kohta käiva andmetöötluse teatavaks tegemisele on võimalik kohaldada </w:t>
      </w:r>
      <w:proofErr w:type="spellStart"/>
      <w:r w:rsidRPr="000B4D44">
        <w:rPr>
          <w:rFonts w:ascii="Times New Roman" w:hAnsi="Times New Roman" w:cs="Times New Roman"/>
          <w:b/>
          <w:bCs/>
        </w:rPr>
        <w:t>IKS-is</w:t>
      </w:r>
      <w:proofErr w:type="spellEnd"/>
      <w:r w:rsidRPr="000B4D44">
        <w:rPr>
          <w:rFonts w:ascii="Times New Roman" w:hAnsi="Times New Roman" w:cs="Times New Roman"/>
          <w:b/>
          <w:bCs/>
        </w:rPr>
        <w:t xml:space="preserve">, </w:t>
      </w:r>
      <w:proofErr w:type="spellStart"/>
      <w:r w:rsidRPr="000B4D44">
        <w:rPr>
          <w:rFonts w:ascii="Times New Roman" w:hAnsi="Times New Roman" w:cs="Times New Roman"/>
          <w:b/>
          <w:bCs/>
        </w:rPr>
        <w:t>KrMS-is</w:t>
      </w:r>
      <w:proofErr w:type="spellEnd"/>
      <w:r w:rsidRPr="000B4D44">
        <w:rPr>
          <w:rFonts w:ascii="Times New Roman" w:hAnsi="Times New Roman" w:cs="Times New Roman"/>
          <w:b/>
          <w:bCs/>
        </w:rPr>
        <w:t xml:space="preserve"> või PPVS-</w:t>
      </w:r>
      <w:proofErr w:type="spellStart"/>
      <w:r w:rsidRPr="000B4D44">
        <w:rPr>
          <w:rFonts w:ascii="Times New Roman" w:hAnsi="Times New Roman" w:cs="Times New Roman"/>
          <w:b/>
          <w:bCs/>
        </w:rPr>
        <w:t>is</w:t>
      </w:r>
      <w:proofErr w:type="spellEnd"/>
      <w:r w:rsidRPr="000B4D44">
        <w:rPr>
          <w:rFonts w:ascii="Times New Roman" w:hAnsi="Times New Roman" w:cs="Times New Roman"/>
          <w:b/>
          <w:bCs/>
        </w:rPr>
        <w:t xml:space="preserve"> sätestatud piiranguid. </w:t>
      </w:r>
      <w:r w:rsidRPr="000B4D44">
        <w:rPr>
          <w:rFonts w:ascii="Times New Roman" w:eastAsia="Times New Roman" w:hAnsi="Times New Roman" w:cs="Times New Roman"/>
          <w:bCs/>
        </w:rPr>
        <w:t xml:space="preserve">Andmejälgijasse või muul kujul andmesubjektile tema kohta käiva andmetöötluse teatavaks tegemisele on võimalik kohaldada 1) teabe sisu osas täielikku või osalist piirangut ja seda 2) ajaliselt teatud sündmuse või kuupäeva saabumiseni vms seadusest tulenevalt. </w:t>
      </w:r>
      <w:r w:rsidRPr="000B4D44">
        <w:rPr>
          <w:rFonts w:ascii="Times New Roman" w:hAnsi="Times New Roman" w:cs="Times New Roman"/>
          <w:b/>
          <w:bCs/>
        </w:rPr>
        <w:t>Kui neid piiranguid rakendatakse, saavutatakse kavandatav eelnõu eesmärk viivitusega.</w:t>
      </w:r>
      <w:r w:rsidRPr="000B4D44">
        <w:rPr>
          <w:b/>
          <w:bCs/>
        </w:rPr>
        <w:t xml:space="preserve"> </w:t>
      </w:r>
    </w:p>
    <w:p w14:paraId="4BCBF4D7" w14:textId="77777777" w:rsidR="003A4166" w:rsidRPr="00DE3EFC" w:rsidRDefault="003A4166" w:rsidP="003A4166">
      <w:pPr>
        <w:spacing w:after="0" w:line="240" w:lineRule="auto"/>
        <w:jc w:val="both"/>
        <w:rPr>
          <w:rFonts w:ascii="Times New Roman" w:hAnsi="Times New Roman" w:cs="Times New Roman"/>
        </w:rPr>
      </w:pPr>
    </w:p>
    <w:p w14:paraId="6C06BD4B" w14:textId="5FD726F5" w:rsidR="001422DE" w:rsidRDefault="00F4702E" w:rsidP="005D63F3">
      <w:pPr>
        <w:spacing w:after="0" w:line="240" w:lineRule="auto"/>
        <w:ind w:left="708" w:firstLine="12"/>
        <w:jc w:val="both"/>
        <w:rPr>
          <w:rFonts w:ascii="Times New Roman" w:hAnsi="Times New Roman" w:cs="Times New Roman"/>
        </w:rPr>
      </w:pPr>
      <w:r w:rsidRPr="00DE3EFC">
        <w:rPr>
          <w:rFonts w:ascii="Times New Roman" w:hAnsi="Times New Roman" w:cs="Times New Roman"/>
        </w:rPr>
        <w:t>SiM VA on neid päringuid nõudvate ülesannete täitmiseks õigus ja reeglina ka vajadus piirata andmesubjekti õigusi (</w:t>
      </w:r>
      <w:proofErr w:type="spellStart"/>
      <w:r w:rsidRPr="00DE3EFC">
        <w:rPr>
          <w:rFonts w:ascii="Times New Roman" w:hAnsi="Times New Roman" w:cs="Times New Roman"/>
        </w:rPr>
        <w:t>K</w:t>
      </w:r>
      <w:r w:rsidR="00CD4C1B">
        <w:rPr>
          <w:rFonts w:ascii="Times New Roman" w:hAnsi="Times New Roman" w:cs="Times New Roman"/>
        </w:rPr>
        <w:t>r</w:t>
      </w:r>
      <w:r w:rsidRPr="00DE3EFC">
        <w:rPr>
          <w:rFonts w:ascii="Times New Roman" w:hAnsi="Times New Roman" w:cs="Times New Roman"/>
        </w:rPr>
        <w:t>MS</w:t>
      </w:r>
      <w:proofErr w:type="spellEnd"/>
      <w:r w:rsidRPr="00DE3EFC">
        <w:rPr>
          <w:rFonts w:ascii="Times New Roman" w:hAnsi="Times New Roman" w:cs="Times New Roman"/>
        </w:rPr>
        <w:t xml:space="preserve"> § 15</w:t>
      </w:r>
      <w:r w:rsidRPr="00DE3EFC">
        <w:rPr>
          <w:rFonts w:ascii="Times New Roman" w:hAnsi="Times New Roman" w:cs="Times New Roman"/>
          <w:vertAlign w:val="superscript"/>
        </w:rPr>
        <w:t>2</w:t>
      </w:r>
      <w:r w:rsidRPr="00DE3EFC">
        <w:rPr>
          <w:rFonts w:ascii="Times New Roman" w:hAnsi="Times New Roman" w:cs="Times New Roman"/>
        </w:rPr>
        <w:t>; PPVS § 7</w:t>
      </w:r>
      <w:r w:rsidRPr="00DE3EFC">
        <w:rPr>
          <w:rFonts w:ascii="Times New Roman" w:hAnsi="Times New Roman" w:cs="Times New Roman"/>
          <w:vertAlign w:val="superscript"/>
        </w:rPr>
        <w:t>48</w:t>
      </w:r>
      <w:r w:rsidRPr="00DE3EFC">
        <w:rPr>
          <w:rFonts w:ascii="Times New Roman" w:hAnsi="Times New Roman" w:cs="Times New Roman"/>
        </w:rPr>
        <w:t xml:space="preserve">). </w:t>
      </w:r>
      <w:r w:rsidR="000B4D44">
        <w:rPr>
          <w:rFonts w:ascii="Times New Roman" w:hAnsi="Times New Roman" w:cs="Times New Roman"/>
          <w:b/>
          <w:bCs/>
          <w:i/>
          <w:iCs/>
        </w:rPr>
        <w:t>SiM VA asutuste</w:t>
      </w:r>
      <w:r w:rsidRPr="000B7B3C">
        <w:rPr>
          <w:rFonts w:ascii="Times New Roman" w:hAnsi="Times New Roman" w:cs="Times New Roman"/>
          <w:b/>
          <w:bCs/>
          <w:i/>
          <w:iCs/>
        </w:rPr>
        <w:t xml:space="preserve"> </w:t>
      </w:r>
      <w:r w:rsidR="000B7B3C" w:rsidRPr="000B7B3C">
        <w:rPr>
          <w:rFonts w:ascii="Times New Roman" w:hAnsi="Times New Roman" w:cs="Times New Roman"/>
          <w:b/>
          <w:bCs/>
          <w:i/>
          <w:iCs/>
        </w:rPr>
        <w:t>jaoks</w:t>
      </w:r>
      <w:r w:rsidRPr="000B7B3C">
        <w:rPr>
          <w:rFonts w:ascii="Times New Roman" w:hAnsi="Times New Roman" w:cs="Times New Roman"/>
          <w:b/>
          <w:bCs/>
          <w:i/>
          <w:iCs/>
        </w:rPr>
        <w:t xml:space="preserve"> </w:t>
      </w:r>
      <w:r w:rsidR="000B7B3C" w:rsidRPr="000B7B3C">
        <w:rPr>
          <w:rFonts w:ascii="Times New Roman" w:hAnsi="Times New Roman" w:cs="Times New Roman"/>
          <w:b/>
          <w:bCs/>
          <w:i/>
          <w:iCs/>
        </w:rPr>
        <w:t xml:space="preserve">tähendavad </w:t>
      </w:r>
      <w:r w:rsidR="000B7B3C" w:rsidRPr="000B7B3C">
        <w:rPr>
          <w:rFonts w:ascii="Times New Roman" w:hAnsi="Times New Roman" w:cs="Times New Roman"/>
          <w:b/>
          <w:bCs/>
          <w:i/>
          <w:iCs/>
        </w:rPr>
        <w:t xml:space="preserve">kõnealused </w:t>
      </w:r>
      <w:r w:rsidRPr="000B7B3C">
        <w:rPr>
          <w:rFonts w:ascii="Times New Roman" w:hAnsi="Times New Roman" w:cs="Times New Roman"/>
          <w:b/>
          <w:bCs/>
          <w:i/>
          <w:iCs/>
        </w:rPr>
        <w:t xml:space="preserve">kaks lõiget koostoimes kohustust </w:t>
      </w:r>
      <w:proofErr w:type="spellStart"/>
      <w:r w:rsidRPr="000B7B3C">
        <w:rPr>
          <w:rFonts w:ascii="Times New Roman" w:hAnsi="Times New Roman" w:cs="Times New Roman"/>
          <w:b/>
          <w:bCs/>
          <w:i/>
          <w:iCs/>
        </w:rPr>
        <w:t>liidestada</w:t>
      </w:r>
      <w:proofErr w:type="spellEnd"/>
      <w:r w:rsidRPr="000B7B3C">
        <w:rPr>
          <w:rFonts w:ascii="Times New Roman" w:hAnsi="Times New Roman" w:cs="Times New Roman"/>
          <w:b/>
          <w:bCs/>
          <w:i/>
          <w:iCs/>
        </w:rPr>
        <w:t xml:space="preserve"> oma infosüsteemi andmejälgija pangasaladusega seotud päringute info kättesaadavaks tegemiseks</w:t>
      </w:r>
      <w:r w:rsidR="000B7B3C" w:rsidRPr="000B7B3C">
        <w:rPr>
          <w:rFonts w:ascii="Times New Roman" w:hAnsi="Times New Roman" w:cs="Times New Roman"/>
          <w:b/>
          <w:bCs/>
          <w:i/>
          <w:iCs/>
        </w:rPr>
        <w:t xml:space="preserve"> ning </w:t>
      </w:r>
      <w:r w:rsidRPr="000B7B3C">
        <w:rPr>
          <w:rFonts w:ascii="Times New Roman" w:hAnsi="Times New Roman" w:cs="Times New Roman"/>
          <w:b/>
          <w:bCs/>
          <w:i/>
          <w:iCs/>
        </w:rPr>
        <w:t>samas jätta see info kättesaadavaks tegemata, kuivõrd seadusega on ette nähtud juurdepääsupiirang või andmesubjekti õiguste piirang.</w:t>
      </w:r>
      <w:r w:rsidRPr="00DE3EFC">
        <w:rPr>
          <w:rFonts w:ascii="Times New Roman" w:hAnsi="Times New Roman" w:cs="Times New Roman"/>
        </w:rPr>
        <w:t xml:space="preserve"> Eeldatavalt ei ole</w:t>
      </w:r>
      <w:r w:rsidR="00F652E5" w:rsidRPr="00DE3EFC">
        <w:rPr>
          <w:rFonts w:ascii="Times New Roman" w:hAnsi="Times New Roman" w:cs="Times New Roman"/>
        </w:rPr>
        <w:t xml:space="preserve"> </w:t>
      </w:r>
      <w:r w:rsidRPr="00DE3EFC">
        <w:rPr>
          <w:rFonts w:ascii="Times New Roman" w:hAnsi="Times New Roman" w:cs="Times New Roman"/>
        </w:rPr>
        <w:t xml:space="preserve">muudatuste soovitud eesmärk </w:t>
      </w:r>
      <w:r w:rsidR="000B7B3C">
        <w:rPr>
          <w:rFonts w:ascii="Times New Roman" w:hAnsi="Times New Roman" w:cs="Times New Roman"/>
        </w:rPr>
        <w:t>sellise</w:t>
      </w:r>
      <w:r w:rsidRPr="00DE3EFC">
        <w:rPr>
          <w:rFonts w:ascii="Times New Roman" w:hAnsi="Times New Roman" w:cs="Times New Roman"/>
        </w:rPr>
        <w:t xml:space="preserve"> ebaproportsionaalse kohustuse </w:t>
      </w:r>
      <w:r w:rsidR="000B7B3C">
        <w:rPr>
          <w:rFonts w:ascii="Times New Roman" w:hAnsi="Times New Roman" w:cs="Times New Roman"/>
        </w:rPr>
        <w:t>seadmine</w:t>
      </w:r>
      <w:r w:rsidRPr="00DE3EFC">
        <w:rPr>
          <w:rFonts w:ascii="Times New Roman" w:hAnsi="Times New Roman" w:cs="Times New Roman"/>
        </w:rPr>
        <w:t xml:space="preserve"> asutustele. Tegeliku soovitud eesmärgi saavutamiseks</w:t>
      </w:r>
      <w:r w:rsidR="000B7B3C">
        <w:rPr>
          <w:rFonts w:ascii="Times New Roman" w:hAnsi="Times New Roman" w:cs="Times New Roman"/>
        </w:rPr>
        <w:t xml:space="preserve"> (</w:t>
      </w:r>
      <w:r w:rsidR="000B7B3C" w:rsidRPr="000B7B3C">
        <w:rPr>
          <w:rFonts w:ascii="Times New Roman" w:hAnsi="Times New Roman" w:cs="Times New Roman"/>
          <w:i/>
          <w:iCs/>
        </w:rPr>
        <w:t>isikuandmete läbipaistvuse suurendamine ning andmete töötlemise õiguspärasuse tagamine</w:t>
      </w:r>
      <w:r w:rsidR="000B7B3C">
        <w:rPr>
          <w:rFonts w:ascii="Times New Roman" w:hAnsi="Times New Roman" w:cs="Times New Roman"/>
        </w:rPr>
        <w:t>)</w:t>
      </w:r>
      <w:r w:rsidRPr="00DE3EFC">
        <w:rPr>
          <w:rFonts w:ascii="Times New Roman" w:hAnsi="Times New Roman" w:cs="Times New Roman"/>
        </w:rPr>
        <w:t xml:space="preserve"> tule</w:t>
      </w:r>
      <w:r w:rsidR="000B7B3C">
        <w:rPr>
          <w:rFonts w:ascii="Times New Roman" w:hAnsi="Times New Roman" w:cs="Times New Roman"/>
        </w:rPr>
        <w:t>ks</w:t>
      </w:r>
      <w:r w:rsidRPr="00DE3EFC">
        <w:rPr>
          <w:rFonts w:ascii="Times New Roman" w:hAnsi="Times New Roman" w:cs="Times New Roman"/>
        </w:rPr>
        <w:t xml:space="preserve"> sätteid ja ka seletuskirja</w:t>
      </w:r>
      <w:r w:rsidR="00F652E5" w:rsidRPr="00DE3EFC">
        <w:rPr>
          <w:rFonts w:ascii="Times New Roman" w:hAnsi="Times New Roman" w:cs="Times New Roman"/>
        </w:rPr>
        <w:t xml:space="preserve"> </w:t>
      </w:r>
      <w:r w:rsidR="005D63F3">
        <w:rPr>
          <w:rFonts w:ascii="Times New Roman" w:hAnsi="Times New Roman" w:cs="Times New Roman"/>
        </w:rPr>
        <w:t>täiendavalt analüüsida</w:t>
      </w:r>
      <w:r w:rsidRPr="00DE3EFC">
        <w:rPr>
          <w:rFonts w:ascii="Times New Roman" w:hAnsi="Times New Roman" w:cs="Times New Roman"/>
        </w:rPr>
        <w:t>.</w:t>
      </w:r>
      <w:r w:rsidR="00E16ACE">
        <w:rPr>
          <w:rFonts w:ascii="Times New Roman" w:hAnsi="Times New Roman" w:cs="Times New Roman"/>
        </w:rPr>
        <w:t xml:space="preserve"> </w:t>
      </w:r>
      <w:r w:rsidR="00E16ACE" w:rsidRPr="00E16ACE">
        <w:rPr>
          <w:rFonts w:ascii="Times New Roman" w:hAnsi="Times New Roman" w:cs="Times New Roman"/>
          <w:b/>
          <w:bCs/>
          <w:u w:val="single"/>
        </w:rPr>
        <w:t>Tulenevalt eelnevast teeme ettepaneku täiendavate kohtumiste läbiviimiseks, et selgitada valitud lähenemise põhjuseid ning vajadusel viia sisse võimalikud muudatused</w:t>
      </w:r>
      <w:r w:rsidR="00E16ACE" w:rsidRPr="00E16ACE">
        <w:rPr>
          <w:rFonts w:ascii="Times New Roman" w:hAnsi="Times New Roman" w:cs="Times New Roman"/>
          <w:u w:val="single"/>
        </w:rPr>
        <w:t>.</w:t>
      </w:r>
    </w:p>
    <w:p w14:paraId="4585001D" w14:textId="77777777" w:rsidR="003A582D" w:rsidRPr="003A582D" w:rsidRDefault="003A582D" w:rsidP="003A582D">
      <w:pPr>
        <w:spacing w:after="0" w:line="240" w:lineRule="auto"/>
        <w:ind w:left="708" w:firstLine="12"/>
        <w:contextualSpacing/>
        <w:jc w:val="both"/>
        <w:rPr>
          <w:rFonts w:ascii="Times New Roman" w:eastAsia="Calibri" w:hAnsi="Times New Roman" w:cs="Times New Roman"/>
          <w:b/>
          <w:kern w:val="0"/>
          <w14:ligatures w14:val="none"/>
        </w:rPr>
      </w:pPr>
    </w:p>
    <w:p w14:paraId="04C2DD41" w14:textId="627AE6CF" w:rsidR="006869E2" w:rsidRPr="006869E2" w:rsidRDefault="003A582D" w:rsidP="006869E2">
      <w:pPr>
        <w:spacing w:after="0" w:line="240" w:lineRule="auto"/>
        <w:ind w:left="708" w:firstLine="12"/>
        <w:contextualSpacing/>
        <w:jc w:val="both"/>
        <w:rPr>
          <w:rFonts w:ascii="Times New Roman" w:hAnsi="Times New Roman" w:cs="Times New Roman"/>
          <w:bCs/>
          <w:i/>
          <w:iCs/>
        </w:rPr>
      </w:pPr>
      <w:r w:rsidRPr="003A582D">
        <w:rPr>
          <w:rFonts w:ascii="Times New Roman" w:eastAsia="Calibri" w:hAnsi="Times New Roman" w:cs="Times New Roman"/>
          <w:b/>
          <w:i/>
          <w:iCs/>
          <w:kern w:val="0"/>
          <w14:ligatures w14:val="none"/>
        </w:rPr>
        <w:t xml:space="preserve">Näiteks on </w:t>
      </w:r>
      <w:r w:rsidRPr="003A582D">
        <w:rPr>
          <w:rFonts w:ascii="Times New Roman" w:eastAsia="Calibri" w:hAnsi="Times New Roman" w:cs="Times New Roman"/>
          <w:b/>
          <w:i/>
          <w:iCs/>
          <w:kern w:val="0"/>
          <w14:ligatures w14:val="none"/>
        </w:rPr>
        <w:t>vaja leida õiguslikult korrektne lahendus põhjendatu</w:t>
      </w:r>
      <w:r w:rsidRPr="003A582D">
        <w:rPr>
          <w:rFonts w:ascii="Times New Roman" w:eastAsia="Calibri" w:hAnsi="Times New Roman" w:cs="Times New Roman"/>
          <w:b/>
          <w:i/>
          <w:iCs/>
          <w:kern w:val="0"/>
          <w14:ligatures w14:val="none"/>
        </w:rPr>
        <w:t>d</w:t>
      </w:r>
      <w:r w:rsidRPr="003A582D">
        <w:rPr>
          <w:rFonts w:ascii="Times New Roman" w:eastAsia="Calibri" w:hAnsi="Times New Roman" w:cs="Times New Roman"/>
          <w:b/>
          <w:i/>
          <w:iCs/>
          <w:kern w:val="0"/>
          <w14:ligatures w14:val="none"/>
        </w:rPr>
        <w:t xml:space="preserve"> juhul andmesubjekti tutvumise õiguse piiramisele pärast kriminaalmenetluse (laiemalt süüteomenetluse) </w:t>
      </w:r>
      <w:r w:rsidRPr="006869E2">
        <w:rPr>
          <w:rFonts w:ascii="Times New Roman" w:eastAsia="Calibri" w:hAnsi="Times New Roman" w:cs="Times New Roman"/>
          <w:b/>
          <w:i/>
          <w:iCs/>
          <w:kern w:val="0"/>
          <w14:ligatures w14:val="none"/>
        </w:rPr>
        <w:t>lõppemist</w:t>
      </w:r>
      <w:r w:rsidR="006869E2">
        <w:rPr>
          <w:rFonts w:ascii="Times New Roman" w:eastAsia="Calibri" w:hAnsi="Times New Roman" w:cs="Times New Roman"/>
          <w:b/>
          <w:i/>
          <w:iCs/>
          <w:kern w:val="0"/>
          <w14:ligatures w14:val="none"/>
        </w:rPr>
        <w:t xml:space="preserve"> või</w:t>
      </w:r>
      <w:r w:rsidRPr="006869E2">
        <w:rPr>
          <w:rFonts w:ascii="Times New Roman" w:eastAsia="Calibri" w:hAnsi="Times New Roman" w:cs="Times New Roman"/>
          <w:b/>
          <w:i/>
          <w:iCs/>
          <w:kern w:val="0"/>
          <w14:ligatures w14:val="none"/>
        </w:rPr>
        <w:t xml:space="preserve"> olukorras, kus see jätkub</w:t>
      </w:r>
      <w:r w:rsidR="006869E2">
        <w:rPr>
          <w:rFonts w:ascii="Times New Roman" w:eastAsia="Calibri" w:hAnsi="Times New Roman" w:cs="Times New Roman"/>
          <w:b/>
          <w:i/>
          <w:iCs/>
          <w:kern w:val="0"/>
          <w14:ligatures w14:val="none"/>
        </w:rPr>
        <w:t xml:space="preserve"> või leiab aset</w:t>
      </w:r>
      <w:r w:rsidRPr="006869E2">
        <w:rPr>
          <w:rFonts w:ascii="Times New Roman" w:eastAsia="Calibri" w:hAnsi="Times New Roman" w:cs="Times New Roman"/>
          <w:b/>
          <w:i/>
          <w:iCs/>
          <w:kern w:val="0"/>
          <w14:ligatures w14:val="none"/>
        </w:rPr>
        <w:t xml:space="preserve"> välisriigis. </w:t>
      </w:r>
      <w:r w:rsidR="006869E2" w:rsidRPr="006869E2">
        <w:rPr>
          <w:rFonts w:ascii="Times New Roman" w:eastAsia="Calibri" w:hAnsi="Times New Roman" w:cs="Times New Roman"/>
          <w:b/>
          <w:i/>
          <w:iCs/>
          <w:kern w:val="0"/>
          <w14:ligatures w14:val="none"/>
        </w:rPr>
        <w:t>PP</w:t>
      </w:r>
      <w:r w:rsidR="006869E2" w:rsidRPr="006869E2">
        <w:rPr>
          <w:rFonts w:ascii="Times New Roman" w:hAnsi="Times New Roman" w:cs="Times New Roman"/>
          <w:b/>
          <w:i/>
          <w:iCs/>
        </w:rPr>
        <w:t xml:space="preserve">A saadab teatud juhtudel ka täitmisregistri kaudu päringuid välisriigi taotlusel välisriigis toimuva menetluse raames, sh seoses Eesti kodanikega. Sellisel juhul ei saa PPA või prokuratuur teada välisriigis toimuva menetluse kohta automaatselt infot, sh näiteks selle lõppemisest või selle jõudmisest etappi, mis võimaldab andmesubjektile andmejälgijasse teavituse edastada. </w:t>
      </w:r>
      <w:r w:rsidRPr="006869E2">
        <w:rPr>
          <w:rFonts w:ascii="Times New Roman" w:eastAsia="Calibri" w:hAnsi="Times New Roman" w:cs="Times New Roman"/>
          <w:b/>
          <w:i/>
          <w:iCs/>
          <w:kern w:val="0"/>
          <w14:ligatures w14:val="none"/>
        </w:rPr>
        <w:t xml:space="preserve">Kehtivas õiguses puudub </w:t>
      </w:r>
      <w:r w:rsidR="006869E2" w:rsidRPr="006869E2">
        <w:rPr>
          <w:rFonts w:ascii="Times New Roman" w:eastAsia="Calibri" w:hAnsi="Times New Roman" w:cs="Times New Roman"/>
          <w:b/>
          <w:i/>
          <w:iCs/>
          <w:kern w:val="0"/>
          <w14:ligatures w14:val="none"/>
        </w:rPr>
        <w:t>aga regulatsioon, mis võimaldaks selliseid erisusi arvestada</w:t>
      </w:r>
      <w:r w:rsidRPr="006869E2">
        <w:rPr>
          <w:rFonts w:ascii="Times New Roman" w:eastAsia="Calibri" w:hAnsi="Times New Roman" w:cs="Times New Roman"/>
          <w:b/>
          <w:i/>
          <w:iCs/>
          <w:kern w:val="0"/>
          <w14:ligatures w14:val="none"/>
        </w:rPr>
        <w:t>.</w:t>
      </w:r>
      <w:r w:rsidRPr="006869E2">
        <w:rPr>
          <w:rFonts w:ascii="Times New Roman" w:eastAsia="Calibri" w:hAnsi="Times New Roman" w:cs="Times New Roman"/>
          <w:b/>
          <w:i/>
          <w:iCs/>
          <w:kern w:val="0"/>
          <w:vertAlign w:val="superscript"/>
          <w14:ligatures w14:val="none"/>
        </w:rPr>
        <w:footnoteReference w:id="1"/>
      </w:r>
      <w:r w:rsidR="006869E2" w:rsidRPr="006869E2">
        <w:rPr>
          <w:rFonts w:ascii="Times New Roman" w:hAnsi="Times New Roman" w:cs="Times New Roman"/>
          <w:bCs/>
          <w:i/>
          <w:iCs/>
        </w:rPr>
        <w:t xml:space="preserve"> </w:t>
      </w:r>
    </w:p>
    <w:p w14:paraId="137C3B3C" w14:textId="77777777" w:rsidR="001422DE" w:rsidRPr="001422DE" w:rsidRDefault="001422DE" w:rsidP="003A4166">
      <w:pPr>
        <w:spacing w:after="0" w:line="240" w:lineRule="auto"/>
        <w:jc w:val="both"/>
        <w:rPr>
          <w:rFonts w:ascii="Times New Roman" w:hAnsi="Times New Roman" w:cs="Times New Roman"/>
          <w:b/>
          <w:bCs/>
        </w:rPr>
      </w:pPr>
    </w:p>
    <w:p w14:paraId="70C733DE" w14:textId="0E5C6DE1" w:rsidR="00B7718E" w:rsidRPr="001422DE" w:rsidRDefault="001422DE" w:rsidP="000B4D44">
      <w:pPr>
        <w:spacing w:after="0" w:line="240" w:lineRule="auto"/>
        <w:ind w:left="708" w:firstLine="12"/>
        <w:jc w:val="both"/>
        <w:rPr>
          <w:rFonts w:ascii="Times New Roman" w:hAnsi="Times New Roman" w:cs="Times New Roman"/>
        </w:rPr>
      </w:pPr>
      <w:r>
        <w:rPr>
          <w:rFonts w:ascii="Times New Roman" w:hAnsi="Times New Roman" w:cs="Times New Roman"/>
        </w:rPr>
        <w:t>Tehnilise märkusena toome välja, et s</w:t>
      </w:r>
      <w:r w:rsidR="00B7718E" w:rsidRPr="00B7718E">
        <w:rPr>
          <w:rFonts w:ascii="Times New Roman" w:hAnsi="Times New Roman" w:cs="Times New Roman"/>
        </w:rPr>
        <w:t xml:space="preserve">eletuskirja lk 4 kirjeldatakse andmesubjekti tutvumise õigusele piirangu seadmist IKÜM art 23 ja IKS § 24 lg 2 alusel. IKÜM ega IKS ei anna iseseisvalt ja otsekohalduvana õigust piirata andmesubjekti õigusi. </w:t>
      </w:r>
      <w:r w:rsidR="00B7718E" w:rsidRPr="003A582D">
        <w:rPr>
          <w:rFonts w:ascii="Times New Roman" w:hAnsi="Times New Roman" w:cs="Times New Roman"/>
          <w:b/>
          <w:bCs/>
          <w:u w:val="single"/>
        </w:rPr>
        <w:t>Palume täpsustada veel seletuskirja osas, milles viidatakse IKS §-</w:t>
      </w:r>
      <w:proofErr w:type="spellStart"/>
      <w:r w:rsidR="00B7718E" w:rsidRPr="003A582D">
        <w:rPr>
          <w:rFonts w:ascii="Times New Roman" w:hAnsi="Times New Roman" w:cs="Times New Roman"/>
          <w:b/>
          <w:bCs/>
          <w:u w:val="single"/>
        </w:rPr>
        <w:t>ile</w:t>
      </w:r>
      <w:proofErr w:type="spellEnd"/>
      <w:r w:rsidR="00B7718E" w:rsidRPr="003A582D">
        <w:rPr>
          <w:rFonts w:ascii="Times New Roman" w:hAnsi="Times New Roman" w:cs="Times New Roman"/>
          <w:b/>
          <w:bCs/>
          <w:u w:val="single"/>
        </w:rPr>
        <w:t xml:space="preserve"> 24 viitamine.</w:t>
      </w:r>
      <w:r w:rsidR="00B7718E" w:rsidRPr="00B7718E">
        <w:rPr>
          <w:rFonts w:ascii="Times New Roman" w:hAnsi="Times New Roman" w:cs="Times New Roman"/>
          <w:bCs/>
        </w:rPr>
        <w:t xml:space="preserve"> IKS § 24 alusel esitab andmesubjekt omaalgatuslikult taotluse iseenda kohta käivate andmetega tutvumiseks. Kui täitemenetluse seadustikuga kohustatakse andmetöötlejat kasutama andmejälgijat ehk teatavaks tegema andmesubjektile teatud teavet, siis kohaldub IKS § 23 omaalgatuslikult andmetöötleja poolt andmesubjekti teavitamisele, mitte IKS § 24.  </w:t>
      </w:r>
    </w:p>
    <w:p w14:paraId="512695A6" w14:textId="77777777" w:rsidR="001422DE" w:rsidRDefault="001422DE" w:rsidP="003A4166">
      <w:pPr>
        <w:spacing w:after="0" w:line="240" w:lineRule="auto"/>
        <w:contextualSpacing/>
        <w:jc w:val="both"/>
        <w:rPr>
          <w:rFonts w:ascii="Times New Roman" w:hAnsi="Times New Roman" w:cs="Times New Roman"/>
        </w:rPr>
      </w:pPr>
    </w:p>
    <w:p w14:paraId="4A210A72" w14:textId="5A113896" w:rsidR="00B7718E" w:rsidRDefault="00887DFF" w:rsidP="006869E2">
      <w:pPr>
        <w:spacing w:after="0" w:line="240" w:lineRule="auto"/>
        <w:ind w:left="708" w:firstLine="12"/>
        <w:contextualSpacing/>
        <w:jc w:val="both"/>
        <w:rPr>
          <w:rFonts w:ascii="Times New Roman" w:hAnsi="Times New Roman" w:cs="Times New Roman"/>
        </w:rPr>
      </w:pPr>
      <w:r w:rsidRPr="00887DFF">
        <w:rPr>
          <w:rFonts w:ascii="Times New Roman" w:hAnsi="Times New Roman" w:cs="Times New Roman"/>
        </w:rPr>
        <w:t>Andmejälgija kohustuslikkuse korral tuleb arvestada nii töökorralduses kui tehnilise lahenduse puhul eelkirjeldatud keerukuse ja kaasneva halduskoormusega andmete omanikult info saamisel ning ajalise nihkega andmetöötluse kohta andmesubjektile teabe andmisel tekkiva ajalise nihkega, võttes asjakohasel juhul arvesse täitmisregistri andmetöötlusele kehtivaid säilitamise tähtaegu.</w:t>
      </w:r>
      <w:r w:rsidR="00596525" w:rsidRPr="00596525">
        <w:t xml:space="preserve"> </w:t>
      </w:r>
      <w:r w:rsidR="00596525">
        <w:rPr>
          <w:rFonts w:ascii="Times New Roman" w:hAnsi="Times New Roman" w:cs="Times New Roman"/>
        </w:rPr>
        <w:t xml:space="preserve"> </w:t>
      </w:r>
    </w:p>
    <w:p w14:paraId="7BA0273F" w14:textId="77777777" w:rsidR="00A63467" w:rsidRDefault="00A63467" w:rsidP="003A4166">
      <w:pPr>
        <w:spacing w:after="0" w:line="240" w:lineRule="auto"/>
        <w:contextualSpacing/>
        <w:jc w:val="both"/>
        <w:rPr>
          <w:rFonts w:ascii="Times New Roman" w:hAnsi="Times New Roman" w:cs="Times New Roman"/>
        </w:rPr>
      </w:pPr>
    </w:p>
    <w:p w14:paraId="2E4D471B" w14:textId="508802B6" w:rsidR="00A63467" w:rsidRPr="00CC64A5" w:rsidRDefault="00CC64A5" w:rsidP="00CC64A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Eraldiseisvalt tuleks </w:t>
      </w:r>
      <w:r w:rsidR="00A63467" w:rsidRPr="00CC64A5">
        <w:rPr>
          <w:rFonts w:ascii="Times New Roman" w:hAnsi="Times New Roman" w:cs="Times New Roman"/>
          <w:b/>
          <w:bCs/>
        </w:rPr>
        <w:t>julgeolekuasutuste kontekstis arvestada ka riigisaladuse kaitse (</w:t>
      </w:r>
      <w:r w:rsidR="00A63467" w:rsidRPr="00CC64A5">
        <w:rPr>
          <w:rFonts w:ascii="Times New Roman" w:hAnsi="Times New Roman" w:cs="Times New Roman"/>
          <w:b/>
          <w:bCs/>
          <w:i/>
          <w:iCs/>
        </w:rPr>
        <w:t>nt JAS alusel teabe varjatud kogumine ja teabe kogumise meetodid ning taktika on salajasel tasemel riigisaladus, RSVKK § 7 lg 4 p 1 ja 3</w:t>
      </w:r>
      <w:r w:rsidR="00A63467" w:rsidRPr="00CC64A5">
        <w:rPr>
          <w:rFonts w:ascii="Times New Roman" w:hAnsi="Times New Roman" w:cs="Times New Roman"/>
          <w:b/>
          <w:bCs/>
        </w:rPr>
        <w:t>) ja olemasolevate andmejälgija tehniliste lahendustega</w:t>
      </w:r>
      <w:r w:rsidR="00A63467" w:rsidRPr="00CC64A5">
        <w:rPr>
          <w:rFonts w:ascii="Times New Roman" w:hAnsi="Times New Roman" w:cs="Times New Roman"/>
        </w:rPr>
        <w:t>, mis on loodud tagamaks seaduses sätestatud juhtudel päringute mitteavaldamist andmesubjektile. Seetõttu tule</w:t>
      </w:r>
      <w:r>
        <w:rPr>
          <w:rFonts w:ascii="Times New Roman" w:hAnsi="Times New Roman" w:cs="Times New Roman"/>
        </w:rPr>
        <w:t>ks</w:t>
      </w:r>
      <w:r w:rsidR="00A63467" w:rsidRPr="00CC64A5">
        <w:rPr>
          <w:rFonts w:ascii="Times New Roman" w:hAnsi="Times New Roman" w:cs="Times New Roman"/>
        </w:rPr>
        <w:t xml:space="preserve"> enne vastava kohustuse kehtestamist saada selgust, kas vastavat lahendust on üldse võimalik paigaldada riigisaladust töötlevasse süsteemi ning milliseid funktsioone on vaja arendada koos kaasnevate mõjude ja kuludega. Alles pärast vastavat analüüsi on võimalik otsustada, kas otstarbekam ja kuluefektiivsem on jätkata senist lahendust, kus andmejälgija on paigaldatud andmeid väljastavasse infosüsteemi või andmesaaja infosüsteemi ning planeerida vajalikke arendustöid ja rahalisi vahendeid. Leiame, et andmesubjekti põhiõiguste kontekstis ei ole oluline, kas andmejälgija tehniline lahendus on täitmisregistris või kasutaja asutuse infosüsteemis</w:t>
      </w:r>
      <w:r>
        <w:rPr>
          <w:rFonts w:ascii="Times New Roman" w:hAnsi="Times New Roman" w:cs="Times New Roman"/>
        </w:rPr>
        <w:t xml:space="preserve"> või andmekogus</w:t>
      </w:r>
      <w:r w:rsidR="00A63467" w:rsidRPr="00CC64A5">
        <w:rPr>
          <w:rFonts w:ascii="Times New Roman" w:hAnsi="Times New Roman" w:cs="Times New Roman"/>
        </w:rPr>
        <w:t>. Põhiõiguste kontekstis on oluline reguleerida, et täitmisregistri kaudu tehtavad päringud tuleb kajastada andmejälgijas, v.a seaduses sätestatud juhtudel, mitte</w:t>
      </w:r>
      <w:r>
        <w:rPr>
          <w:rFonts w:ascii="Times New Roman" w:hAnsi="Times New Roman" w:cs="Times New Roman"/>
        </w:rPr>
        <w:t xml:space="preserve"> reguleerida</w:t>
      </w:r>
      <w:r w:rsidR="00A63467" w:rsidRPr="00CC64A5">
        <w:rPr>
          <w:rFonts w:ascii="Times New Roman" w:hAnsi="Times New Roman" w:cs="Times New Roman"/>
        </w:rPr>
        <w:t xml:space="preserve"> tehnilist lahendust.</w:t>
      </w:r>
      <w:r w:rsidRPr="00CC64A5">
        <w:rPr>
          <w:rFonts w:ascii="Times New Roman" w:hAnsi="Times New Roman" w:cs="Times New Roman"/>
          <w:b/>
          <w:bCs/>
        </w:rPr>
        <w:t xml:space="preserve"> </w:t>
      </w:r>
      <w:r w:rsidRPr="00A868F7">
        <w:rPr>
          <w:rFonts w:ascii="Times New Roman" w:hAnsi="Times New Roman" w:cs="Times New Roman"/>
          <w:b/>
          <w:bCs/>
          <w:u w:val="single"/>
        </w:rPr>
        <w:t xml:space="preserve">Tulenevalt eelnevast teeme ettepaneku </w:t>
      </w:r>
      <w:r w:rsidRPr="00A868F7">
        <w:rPr>
          <w:rFonts w:ascii="Times New Roman" w:hAnsi="Times New Roman" w:cs="Times New Roman"/>
          <w:b/>
          <w:bCs/>
          <w:u w:val="single"/>
        </w:rPr>
        <w:t>pikendada eelnõu kooskõlastamise tähtaega 30. septembrini, et võimaldada vajalike analüüside ja hinnangute koostamine.</w:t>
      </w:r>
    </w:p>
    <w:p w14:paraId="3DD7AAFC" w14:textId="77777777" w:rsidR="003A4166" w:rsidRPr="00DE3EFC" w:rsidRDefault="003A4166" w:rsidP="003A4166">
      <w:pPr>
        <w:spacing w:after="0" w:line="240" w:lineRule="auto"/>
        <w:jc w:val="both"/>
        <w:rPr>
          <w:rFonts w:ascii="Times New Roman" w:hAnsi="Times New Roman" w:cs="Times New Roman"/>
        </w:rPr>
      </w:pPr>
    </w:p>
    <w:p w14:paraId="3E0D1AD7" w14:textId="709857BA" w:rsidR="00C8784F" w:rsidRPr="00A868F7" w:rsidRDefault="00C8784F" w:rsidP="00A868F7">
      <w:pPr>
        <w:pStyle w:val="ListParagraph"/>
        <w:numPr>
          <w:ilvl w:val="0"/>
          <w:numId w:val="2"/>
        </w:numPr>
        <w:spacing w:after="0" w:line="240" w:lineRule="auto"/>
        <w:jc w:val="both"/>
        <w:rPr>
          <w:rFonts w:ascii="Times New Roman" w:hAnsi="Times New Roman" w:cs="Times New Roman"/>
        </w:rPr>
      </w:pPr>
      <w:r w:rsidRPr="00A868F7">
        <w:rPr>
          <w:rFonts w:ascii="Times New Roman" w:hAnsi="Times New Roman" w:cs="Times New Roman"/>
          <w:b/>
          <w:bCs/>
        </w:rPr>
        <w:t>Eelnõu</w:t>
      </w:r>
      <w:r w:rsidR="00FD3487" w:rsidRPr="00A868F7">
        <w:rPr>
          <w:rFonts w:ascii="Times New Roman" w:hAnsi="Times New Roman" w:cs="Times New Roman"/>
          <w:b/>
          <w:bCs/>
        </w:rPr>
        <w:t xml:space="preserve"> § 1</w:t>
      </w:r>
      <w:r w:rsidRPr="00A868F7">
        <w:rPr>
          <w:rFonts w:ascii="Times New Roman" w:hAnsi="Times New Roman" w:cs="Times New Roman"/>
          <w:b/>
          <w:bCs/>
        </w:rPr>
        <w:t xml:space="preserve"> punktiga 3 </w:t>
      </w:r>
      <w:r w:rsidRPr="00A868F7">
        <w:rPr>
          <w:rFonts w:ascii="Times New Roman" w:hAnsi="Times New Roman" w:cs="Times New Roman"/>
        </w:rPr>
        <w:t>tunnistatakse kehtetuks TMS § 63 lõige 12, mille kohaselt täitmisregistrist on avalikult kättesaadav teave, kas isikul on täitmisele antud võlgnevus, ning selle olemasolu korral täitedokumendist tuleneva võla suurus ja selle jääk. Teavet antakse nende täitemenetluste kohta, milles on möödunud vabatahtliku tasumise tähtaeg.</w:t>
      </w:r>
      <w:r w:rsidR="001422DE" w:rsidRPr="00A868F7">
        <w:rPr>
          <w:rFonts w:ascii="Times New Roman" w:hAnsi="Times New Roman" w:cs="Times New Roman"/>
        </w:rPr>
        <w:t xml:space="preserve"> </w:t>
      </w:r>
      <w:r w:rsidR="001422DE" w:rsidRPr="00A868F7">
        <w:rPr>
          <w:rFonts w:ascii="Times New Roman" w:hAnsi="Times New Roman" w:cs="Times New Roman"/>
          <w:b/>
          <w:bCs/>
          <w:u w:val="single"/>
        </w:rPr>
        <w:t>Palume selgitust, kas ja kuidas nimetatud infot edaspidi avalikustatakse</w:t>
      </w:r>
      <w:r w:rsidR="001422DE" w:rsidRPr="00A868F7">
        <w:rPr>
          <w:rFonts w:ascii="Times New Roman" w:hAnsi="Times New Roman" w:cs="Times New Roman"/>
        </w:rPr>
        <w:t>.</w:t>
      </w:r>
    </w:p>
    <w:p w14:paraId="032ABFB3" w14:textId="77777777" w:rsidR="003A4166" w:rsidRPr="00DE3EFC" w:rsidRDefault="003A4166" w:rsidP="00A868F7">
      <w:pPr>
        <w:spacing w:after="0" w:line="240" w:lineRule="auto"/>
        <w:jc w:val="both"/>
        <w:rPr>
          <w:rFonts w:ascii="Times New Roman" w:hAnsi="Times New Roman" w:cs="Times New Roman"/>
        </w:rPr>
      </w:pPr>
    </w:p>
    <w:p w14:paraId="591A5EC2" w14:textId="53277313" w:rsidR="00C8784F" w:rsidRPr="00A868F7" w:rsidRDefault="00C8784F" w:rsidP="00A868F7">
      <w:pPr>
        <w:pStyle w:val="ListParagraph"/>
        <w:numPr>
          <w:ilvl w:val="0"/>
          <w:numId w:val="2"/>
        </w:numPr>
        <w:spacing w:after="0" w:line="240" w:lineRule="auto"/>
        <w:jc w:val="both"/>
        <w:rPr>
          <w:rFonts w:ascii="Times New Roman" w:hAnsi="Times New Roman" w:cs="Times New Roman"/>
        </w:rPr>
      </w:pPr>
      <w:r w:rsidRPr="00A868F7">
        <w:rPr>
          <w:rFonts w:ascii="Times New Roman" w:hAnsi="Times New Roman" w:cs="Times New Roman"/>
          <w:b/>
          <w:bCs/>
        </w:rPr>
        <w:t xml:space="preserve">Eelnõu </w:t>
      </w:r>
      <w:r w:rsidR="00FD3487" w:rsidRPr="00A868F7">
        <w:rPr>
          <w:rFonts w:ascii="Times New Roman" w:hAnsi="Times New Roman" w:cs="Times New Roman"/>
          <w:b/>
          <w:bCs/>
        </w:rPr>
        <w:t xml:space="preserve">§ 1 </w:t>
      </w:r>
      <w:r w:rsidRPr="00A868F7">
        <w:rPr>
          <w:rFonts w:ascii="Times New Roman" w:hAnsi="Times New Roman" w:cs="Times New Roman"/>
          <w:b/>
          <w:bCs/>
        </w:rPr>
        <w:t>punktiga 5</w:t>
      </w:r>
      <w:r w:rsidRPr="00A868F7">
        <w:rPr>
          <w:rFonts w:ascii="Times New Roman" w:hAnsi="Times New Roman" w:cs="Times New Roman"/>
        </w:rPr>
        <w:t xml:space="preserve"> täiendatakse TMS § 63 lõikega 5</w:t>
      </w:r>
      <w:r w:rsidRPr="00A868F7">
        <w:rPr>
          <w:rFonts w:ascii="Times New Roman" w:hAnsi="Times New Roman" w:cs="Times New Roman"/>
          <w:vertAlign w:val="superscript"/>
        </w:rPr>
        <w:t>2</w:t>
      </w:r>
      <w:r w:rsidRPr="00A868F7">
        <w:rPr>
          <w:rFonts w:ascii="Times New Roman" w:hAnsi="Times New Roman" w:cs="Times New Roman"/>
        </w:rPr>
        <w:t xml:space="preserve"> järgmises sõnastuses „</w:t>
      </w:r>
      <w:r w:rsidRPr="00A868F7">
        <w:rPr>
          <w:rFonts w:ascii="Times New Roman" w:hAnsi="Times New Roman" w:cs="Times New Roman"/>
          <w:i/>
          <w:iCs/>
        </w:rPr>
        <w:t>Täitmisregistris töödeldavaid andmeid säilitatakse kuni viis aastat menetluse lõpetamisest</w:t>
      </w:r>
      <w:r w:rsidRPr="00A868F7">
        <w:rPr>
          <w:rFonts w:ascii="Times New Roman" w:hAnsi="Times New Roman" w:cs="Times New Roman"/>
        </w:rPr>
        <w:t xml:space="preserve">.“. Samas </w:t>
      </w:r>
      <w:r w:rsidR="004266B9" w:rsidRPr="00A868F7">
        <w:rPr>
          <w:rFonts w:ascii="Times New Roman" w:hAnsi="Times New Roman" w:cs="Times New Roman"/>
        </w:rPr>
        <w:t xml:space="preserve">täitmisregistri </w:t>
      </w:r>
      <w:r w:rsidRPr="00A868F7">
        <w:rPr>
          <w:rFonts w:ascii="Times New Roman" w:hAnsi="Times New Roman" w:cs="Times New Roman"/>
        </w:rPr>
        <w:t xml:space="preserve">põhimääruse </w:t>
      </w:r>
      <w:r w:rsidR="004266B9" w:rsidRPr="00A868F7">
        <w:rPr>
          <w:rFonts w:ascii="Times New Roman" w:hAnsi="Times New Roman" w:cs="Times New Roman"/>
        </w:rPr>
        <w:t xml:space="preserve">§ 16 lõike 3 </w:t>
      </w:r>
      <w:r w:rsidRPr="00A868F7">
        <w:rPr>
          <w:rFonts w:ascii="Times New Roman" w:hAnsi="Times New Roman" w:cs="Times New Roman"/>
        </w:rPr>
        <w:t>järgi</w:t>
      </w:r>
      <w:r w:rsidR="004266B9" w:rsidRPr="00A868F7">
        <w:rPr>
          <w:rFonts w:ascii="Times New Roman" w:hAnsi="Times New Roman" w:cs="Times New Roman"/>
        </w:rPr>
        <w:t xml:space="preserve"> säilitatakse volituste andmeid säilitatakse kolm aastat pärast volituse lõppemist.</w:t>
      </w:r>
      <w:r w:rsidRPr="00A868F7">
        <w:rPr>
          <w:rFonts w:ascii="Times New Roman" w:hAnsi="Times New Roman" w:cs="Times New Roman"/>
        </w:rPr>
        <w:t xml:space="preserve"> </w:t>
      </w:r>
      <w:r w:rsidR="004266B9" w:rsidRPr="00A868F7">
        <w:rPr>
          <w:rFonts w:ascii="Times New Roman" w:hAnsi="Times New Roman" w:cs="Times New Roman"/>
          <w:b/>
          <w:bCs/>
          <w:u w:val="single"/>
        </w:rPr>
        <w:t>Palume täpsustada eelnõu või täitmisregistri põhimäärust.</w:t>
      </w:r>
      <w:r w:rsidR="00460382" w:rsidRPr="00A868F7">
        <w:rPr>
          <w:rFonts w:ascii="Times New Roman" w:hAnsi="Times New Roman" w:cs="Times New Roman"/>
          <w:b/>
          <w:bCs/>
          <w:u w:val="single"/>
        </w:rPr>
        <w:t xml:space="preserve"> Palume selgitust, kas isiku autentimise ja tuvastamise andmed kantakse ka täitmisregistrisse</w:t>
      </w:r>
      <w:r w:rsidR="00460382" w:rsidRPr="00A868F7">
        <w:rPr>
          <w:rFonts w:ascii="Times New Roman" w:hAnsi="Times New Roman" w:cs="Times New Roman"/>
        </w:rPr>
        <w:t>.</w:t>
      </w:r>
    </w:p>
    <w:p w14:paraId="027D6F4C" w14:textId="77777777" w:rsidR="003A4166" w:rsidRPr="00DE3EFC" w:rsidRDefault="003A4166" w:rsidP="00A868F7">
      <w:pPr>
        <w:spacing w:after="0" w:line="240" w:lineRule="auto"/>
        <w:jc w:val="both"/>
        <w:rPr>
          <w:rFonts w:ascii="Times New Roman" w:hAnsi="Times New Roman" w:cs="Times New Roman"/>
        </w:rPr>
      </w:pPr>
    </w:p>
    <w:p w14:paraId="3C98B849" w14:textId="152CF840" w:rsidR="008F2ACC" w:rsidRPr="00A868F7" w:rsidRDefault="008F2ACC" w:rsidP="002511CB">
      <w:pPr>
        <w:pStyle w:val="ListParagraph"/>
        <w:numPr>
          <w:ilvl w:val="0"/>
          <w:numId w:val="2"/>
        </w:numPr>
        <w:spacing w:after="0" w:line="240" w:lineRule="auto"/>
        <w:jc w:val="both"/>
        <w:rPr>
          <w:rFonts w:ascii="Times New Roman" w:hAnsi="Times New Roman" w:cs="Times New Roman"/>
        </w:rPr>
      </w:pPr>
      <w:r w:rsidRPr="00A868F7">
        <w:rPr>
          <w:rFonts w:ascii="Times New Roman" w:hAnsi="Times New Roman" w:cs="Times New Roman"/>
          <w:b/>
          <w:bCs/>
        </w:rPr>
        <w:t>Eelnõu §-d 2 ja 3 (üleminekutähtaeg)</w:t>
      </w:r>
      <w:r w:rsidR="00A868F7" w:rsidRPr="00A868F7">
        <w:rPr>
          <w:rFonts w:ascii="Times New Roman" w:hAnsi="Times New Roman" w:cs="Times New Roman"/>
          <w:b/>
          <w:bCs/>
        </w:rPr>
        <w:t xml:space="preserve">. </w:t>
      </w:r>
      <w:r w:rsidRPr="00A868F7">
        <w:rPr>
          <w:rFonts w:ascii="Times New Roman" w:hAnsi="Times New Roman" w:cs="Times New Roman"/>
        </w:rPr>
        <w:t xml:space="preserve">Muudatuste kohaselt jõustuvad sätted 23. veebruaril 2026.a. Juhime tähelepanu, et poolaastase etteteatamisega ei ole keset eelarve aastat planeeritud nimetatud IT-arendusi ega katteallikaid. Lisaks ei ole neid töö- ja arendusplaanides. </w:t>
      </w:r>
      <w:r w:rsidR="00A868F7">
        <w:rPr>
          <w:rFonts w:ascii="Times New Roman" w:hAnsi="Times New Roman" w:cs="Times New Roman"/>
          <w:b/>
          <w:bCs/>
        </w:rPr>
        <w:t>Lähtuvalt</w:t>
      </w:r>
      <w:r w:rsidR="00A868F7" w:rsidRPr="00A868F7">
        <w:rPr>
          <w:rFonts w:ascii="Times New Roman" w:hAnsi="Times New Roman" w:cs="Times New Roman"/>
          <w:b/>
          <w:bCs/>
        </w:rPr>
        <w:t xml:space="preserve"> ka punktis 1 välja toodud arendustega seotud põhjustest hindame, et r</w:t>
      </w:r>
      <w:r w:rsidRPr="00A868F7">
        <w:rPr>
          <w:rFonts w:ascii="Times New Roman" w:hAnsi="Times New Roman" w:cs="Times New Roman"/>
          <w:b/>
          <w:bCs/>
        </w:rPr>
        <w:t>akendamise tähta</w:t>
      </w:r>
      <w:r w:rsidR="00A868F7" w:rsidRPr="00A868F7">
        <w:rPr>
          <w:rFonts w:ascii="Times New Roman" w:hAnsi="Times New Roman" w:cs="Times New Roman"/>
          <w:b/>
          <w:bCs/>
        </w:rPr>
        <w:t xml:space="preserve">eg ei ole käesolevalt saavutatav või oleks riigile ebaproportsionaalselt koormav ning kulukas. </w:t>
      </w:r>
      <w:r w:rsidR="00A868F7">
        <w:rPr>
          <w:rFonts w:ascii="Times New Roman" w:hAnsi="Times New Roman" w:cs="Times New Roman"/>
          <w:b/>
          <w:bCs/>
        </w:rPr>
        <w:t>Tulenevalt</w:t>
      </w:r>
      <w:r w:rsidR="00A868F7" w:rsidRPr="00A868F7">
        <w:rPr>
          <w:rFonts w:ascii="Times New Roman" w:hAnsi="Times New Roman" w:cs="Times New Roman"/>
          <w:b/>
          <w:bCs/>
        </w:rPr>
        <w:t xml:space="preserve"> eelnevast t</w:t>
      </w:r>
      <w:r w:rsidRPr="00A868F7">
        <w:rPr>
          <w:rFonts w:ascii="Times New Roman" w:hAnsi="Times New Roman" w:cs="Times New Roman"/>
          <w:b/>
          <w:bCs/>
        </w:rPr>
        <w:t xml:space="preserve">eeme ettepaneku </w:t>
      </w:r>
      <w:r w:rsidR="00C8784F" w:rsidRPr="00A868F7">
        <w:rPr>
          <w:rFonts w:ascii="Times New Roman" w:hAnsi="Times New Roman" w:cs="Times New Roman"/>
          <w:b/>
          <w:bCs/>
        </w:rPr>
        <w:t>muuta § 3 järgmiselt</w:t>
      </w:r>
      <w:r w:rsidR="00C8784F" w:rsidRPr="00A868F7">
        <w:rPr>
          <w:rFonts w:ascii="Times New Roman" w:hAnsi="Times New Roman" w:cs="Times New Roman"/>
        </w:rPr>
        <w:t>:</w:t>
      </w:r>
    </w:p>
    <w:p w14:paraId="1BCCD582" w14:textId="77777777" w:rsidR="003A4166" w:rsidRPr="00DE3EFC" w:rsidRDefault="003A4166" w:rsidP="003A4166">
      <w:pPr>
        <w:spacing w:after="0" w:line="240" w:lineRule="auto"/>
        <w:jc w:val="both"/>
        <w:rPr>
          <w:rFonts w:ascii="Times New Roman" w:hAnsi="Times New Roman" w:cs="Times New Roman"/>
        </w:rPr>
      </w:pPr>
    </w:p>
    <w:p w14:paraId="13BC3D57" w14:textId="77777777" w:rsidR="00C8784F" w:rsidRPr="00A868F7" w:rsidRDefault="00C8784F" w:rsidP="00A868F7">
      <w:pPr>
        <w:spacing w:after="0" w:line="240" w:lineRule="auto"/>
        <w:ind w:firstLine="708"/>
        <w:jc w:val="both"/>
        <w:rPr>
          <w:rFonts w:ascii="Times New Roman" w:hAnsi="Times New Roman" w:cs="Times New Roman"/>
          <w:i/>
          <w:iCs/>
        </w:rPr>
      </w:pPr>
      <w:r w:rsidRPr="00A868F7">
        <w:rPr>
          <w:rFonts w:ascii="Times New Roman" w:hAnsi="Times New Roman" w:cs="Times New Roman"/>
          <w:i/>
          <w:iCs/>
        </w:rPr>
        <w:t>„</w:t>
      </w:r>
      <w:r w:rsidRPr="00A868F7">
        <w:rPr>
          <w:rFonts w:ascii="Times New Roman" w:hAnsi="Times New Roman" w:cs="Times New Roman"/>
          <w:b/>
          <w:bCs/>
          <w:i/>
          <w:iCs/>
        </w:rPr>
        <w:t>§ 3. Seaduse jõustumine</w:t>
      </w:r>
      <w:r w:rsidRPr="00A868F7">
        <w:rPr>
          <w:rFonts w:ascii="Times New Roman" w:hAnsi="Times New Roman" w:cs="Times New Roman"/>
          <w:i/>
          <w:iCs/>
        </w:rPr>
        <w:t xml:space="preserve"> </w:t>
      </w:r>
    </w:p>
    <w:p w14:paraId="1632DBE9" w14:textId="77777777" w:rsidR="00FD3487" w:rsidRPr="00A868F7" w:rsidRDefault="00FD3487" w:rsidP="003A4166">
      <w:pPr>
        <w:spacing w:after="0" w:line="240" w:lineRule="auto"/>
        <w:jc w:val="both"/>
        <w:rPr>
          <w:rFonts w:ascii="Times New Roman" w:hAnsi="Times New Roman" w:cs="Times New Roman"/>
          <w:i/>
          <w:iCs/>
        </w:rPr>
      </w:pPr>
    </w:p>
    <w:p w14:paraId="3213CF6C" w14:textId="063083F4" w:rsidR="00C8784F" w:rsidRPr="00A868F7" w:rsidRDefault="00C8784F" w:rsidP="00A868F7">
      <w:pPr>
        <w:spacing w:after="0" w:line="240" w:lineRule="auto"/>
        <w:ind w:left="708"/>
        <w:jc w:val="both"/>
        <w:rPr>
          <w:rFonts w:ascii="Times New Roman" w:hAnsi="Times New Roman" w:cs="Times New Roman"/>
          <w:i/>
          <w:iCs/>
        </w:rPr>
      </w:pPr>
      <w:r w:rsidRPr="00A868F7">
        <w:rPr>
          <w:rFonts w:ascii="Times New Roman" w:hAnsi="Times New Roman" w:cs="Times New Roman"/>
          <w:i/>
          <w:iCs/>
        </w:rPr>
        <w:t>Käesoleva seaduse § 1 punktid 1 ja 2 ning § 2 jõustuvad 2026. aasta 1. septembril.“.</w:t>
      </w:r>
    </w:p>
    <w:p w14:paraId="1ECE6246" w14:textId="77777777" w:rsidR="003A4166" w:rsidRPr="00DE3EFC" w:rsidRDefault="003A4166" w:rsidP="003A4166">
      <w:pPr>
        <w:spacing w:after="0" w:line="240" w:lineRule="auto"/>
        <w:jc w:val="both"/>
        <w:rPr>
          <w:rFonts w:ascii="Times New Roman" w:hAnsi="Times New Roman" w:cs="Times New Roman"/>
        </w:rPr>
      </w:pPr>
    </w:p>
    <w:p w14:paraId="4E54A879" w14:textId="7ED64FC3" w:rsidR="00C8784F" w:rsidRPr="00DE3EFC" w:rsidRDefault="00C8784F" w:rsidP="003A4166">
      <w:pPr>
        <w:spacing w:after="0" w:line="240" w:lineRule="auto"/>
        <w:jc w:val="both"/>
        <w:rPr>
          <w:rFonts w:ascii="Times New Roman" w:hAnsi="Times New Roman" w:cs="Times New Roman"/>
        </w:rPr>
      </w:pPr>
    </w:p>
    <w:sectPr w:rsidR="00C8784F" w:rsidRPr="00DE3E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532F" w14:textId="77777777" w:rsidR="00B7718E" w:rsidRDefault="00B7718E" w:rsidP="00B7718E">
      <w:pPr>
        <w:spacing w:after="0" w:line="240" w:lineRule="auto"/>
      </w:pPr>
      <w:r>
        <w:separator/>
      </w:r>
    </w:p>
  </w:endnote>
  <w:endnote w:type="continuationSeparator" w:id="0">
    <w:p w14:paraId="404DC593" w14:textId="77777777" w:rsidR="00B7718E" w:rsidRDefault="00B7718E" w:rsidP="00B7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A20C" w14:textId="77777777" w:rsidR="00B7718E" w:rsidRDefault="00B7718E" w:rsidP="00B7718E">
      <w:pPr>
        <w:spacing w:after="0" w:line="240" w:lineRule="auto"/>
      </w:pPr>
      <w:r>
        <w:separator/>
      </w:r>
    </w:p>
  </w:footnote>
  <w:footnote w:type="continuationSeparator" w:id="0">
    <w:p w14:paraId="736A3895" w14:textId="77777777" w:rsidR="00B7718E" w:rsidRDefault="00B7718E" w:rsidP="00B7718E">
      <w:pPr>
        <w:spacing w:after="0" w:line="240" w:lineRule="auto"/>
      </w:pPr>
      <w:r>
        <w:continuationSeparator/>
      </w:r>
    </w:p>
  </w:footnote>
  <w:footnote w:id="1">
    <w:p w14:paraId="167E5F05" w14:textId="77777777" w:rsidR="003A582D" w:rsidRPr="00F81A69" w:rsidRDefault="003A582D" w:rsidP="003A582D">
      <w:pPr>
        <w:pStyle w:val="FootnoteText"/>
        <w:rPr>
          <w:rFonts w:ascii="Times New Roman" w:hAnsi="Times New Roman" w:cs="Times New Roman"/>
        </w:rPr>
      </w:pPr>
      <w:r w:rsidRPr="00F81A69">
        <w:rPr>
          <w:rStyle w:val="FootnoteReference"/>
          <w:rFonts w:ascii="Times New Roman" w:hAnsi="Times New Roman" w:cs="Times New Roman"/>
        </w:rPr>
        <w:footnoteRef/>
      </w:r>
      <w:r w:rsidRPr="00F81A69">
        <w:rPr>
          <w:rFonts w:ascii="Times New Roman" w:hAnsi="Times New Roman" w:cs="Times New Roman"/>
        </w:rPr>
        <w:t xml:space="preserve"> Vt analoogia korras nt </w:t>
      </w:r>
      <w:proofErr w:type="spellStart"/>
      <w:r w:rsidRPr="00F81A69">
        <w:rPr>
          <w:rFonts w:ascii="Times New Roman" w:hAnsi="Times New Roman" w:cs="Times New Roman"/>
        </w:rPr>
        <w:t>RKHKo</w:t>
      </w:r>
      <w:proofErr w:type="spellEnd"/>
      <w:r w:rsidRPr="00F81A69">
        <w:rPr>
          <w:rFonts w:ascii="Times New Roman" w:hAnsi="Times New Roman" w:cs="Times New Roman"/>
        </w:rPr>
        <w:t xml:space="preserve"> 3-3-1-84-15, p 17,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4184"/>
    <w:multiLevelType w:val="hybridMultilevel"/>
    <w:tmpl w:val="FFDC37B6"/>
    <w:lvl w:ilvl="0" w:tplc="D892DA5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170F6F"/>
    <w:multiLevelType w:val="hybridMultilevel"/>
    <w:tmpl w:val="8FE248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47672411">
    <w:abstractNumId w:val="1"/>
  </w:num>
  <w:num w:numId="2" w16cid:durableId="149750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2E"/>
    <w:rsid w:val="000041FA"/>
    <w:rsid w:val="00007B5F"/>
    <w:rsid w:val="00013779"/>
    <w:rsid w:val="00040F43"/>
    <w:rsid w:val="00085084"/>
    <w:rsid w:val="000B4D44"/>
    <w:rsid w:val="000B52D5"/>
    <w:rsid w:val="000B7B3C"/>
    <w:rsid w:val="0010232D"/>
    <w:rsid w:val="001422DE"/>
    <w:rsid w:val="0015697C"/>
    <w:rsid w:val="002665BB"/>
    <w:rsid w:val="002A09D8"/>
    <w:rsid w:val="002C36DD"/>
    <w:rsid w:val="00300E9B"/>
    <w:rsid w:val="00324D94"/>
    <w:rsid w:val="003636B1"/>
    <w:rsid w:val="003A4166"/>
    <w:rsid w:val="003A582D"/>
    <w:rsid w:val="003D3237"/>
    <w:rsid w:val="004266B9"/>
    <w:rsid w:val="00460382"/>
    <w:rsid w:val="00494D99"/>
    <w:rsid w:val="004C50EC"/>
    <w:rsid w:val="004E5EBF"/>
    <w:rsid w:val="00500FE1"/>
    <w:rsid w:val="00505954"/>
    <w:rsid w:val="00596525"/>
    <w:rsid w:val="005B5E27"/>
    <w:rsid w:val="005D63F3"/>
    <w:rsid w:val="005F22DE"/>
    <w:rsid w:val="006270CC"/>
    <w:rsid w:val="006337E9"/>
    <w:rsid w:val="00651C4A"/>
    <w:rsid w:val="006869E2"/>
    <w:rsid w:val="006F37D5"/>
    <w:rsid w:val="00702923"/>
    <w:rsid w:val="007272A0"/>
    <w:rsid w:val="0074666F"/>
    <w:rsid w:val="00783F36"/>
    <w:rsid w:val="007D405A"/>
    <w:rsid w:val="00812713"/>
    <w:rsid w:val="008323DD"/>
    <w:rsid w:val="00881BF1"/>
    <w:rsid w:val="00884641"/>
    <w:rsid w:val="00887DFF"/>
    <w:rsid w:val="008B1091"/>
    <w:rsid w:val="008F208F"/>
    <w:rsid w:val="008F2ACC"/>
    <w:rsid w:val="00904089"/>
    <w:rsid w:val="009207A9"/>
    <w:rsid w:val="00921283"/>
    <w:rsid w:val="009A114F"/>
    <w:rsid w:val="009A6A3C"/>
    <w:rsid w:val="00A56245"/>
    <w:rsid w:val="00A570E4"/>
    <w:rsid w:val="00A63467"/>
    <w:rsid w:val="00A868F7"/>
    <w:rsid w:val="00AC039C"/>
    <w:rsid w:val="00B7718E"/>
    <w:rsid w:val="00B84DA2"/>
    <w:rsid w:val="00C6461D"/>
    <w:rsid w:val="00C673C8"/>
    <w:rsid w:val="00C847AA"/>
    <w:rsid w:val="00C8784F"/>
    <w:rsid w:val="00CC64A5"/>
    <w:rsid w:val="00CD4C1B"/>
    <w:rsid w:val="00CD7711"/>
    <w:rsid w:val="00D27C2C"/>
    <w:rsid w:val="00D97891"/>
    <w:rsid w:val="00DD67F9"/>
    <w:rsid w:val="00DE3EFC"/>
    <w:rsid w:val="00DF2BA5"/>
    <w:rsid w:val="00E15AF2"/>
    <w:rsid w:val="00E16ACE"/>
    <w:rsid w:val="00E25712"/>
    <w:rsid w:val="00E46057"/>
    <w:rsid w:val="00ED084B"/>
    <w:rsid w:val="00F210E8"/>
    <w:rsid w:val="00F36EEE"/>
    <w:rsid w:val="00F4581D"/>
    <w:rsid w:val="00F4702E"/>
    <w:rsid w:val="00F652E5"/>
    <w:rsid w:val="00F93EFE"/>
    <w:rsid w:val="00FA3224"/>
    <w:rsid w:val="00FB49D9"/>
    <w:rsid w:val="00FC35AB"/>
    <w:rsid w:val="00FD34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D83C"/>
  <w15:chartTrackingRefBased/>
  <w15:docId w15:val="{B4C93503-D088-49FA-A2A5-36EFE3E5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02E"/>
    <w:rPr>
      <w:rFonts w:eastAsiaTheme="majorEastAsia" w:cstheme="majorBidi"/>
      <w:color w:val="272727" w:themeColor="text1" w:themeTint="D8"/>
    </w:rPr>
  </w:style>
  <w:style w:type="paragraph" w:styleId="Title">
    <w:name w:val="Title"/>
    <w:basedOn w:val="Normal"/>
    <w:next w:val="Normal"/>
    <w:link w:val="TitleChar"/>
    <w:uiPriority w:val="10"/>
    <w:qFormat/>
    <w:rsid w:val="00F47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02E"/>
    <w:pPr>
      <w:spacing w:before="160"/>
      <w:jc w:val="center"/>
    </w:pPr>
    <w:rPr>
      <w:i/>
      <w:iCs/>
      <w:color w:val="404040" w:themeColor="text1" w:themeTint="BF"/>
    </w:rPr>
  </w:style>
  <w:style w:type="character" w:customStyle="1" w:styleId="QuoteChar">
    <w:name w:val="Quote Char"/>
    <w:basedOn w:val="DefaultParagraphFont"/>
    <w:link w:val="Quote"/>
    <w:uiPriority w:val="29"/>
    <w:rsid w:val="00F4702E"/>
    <w:rPr>
      <w:i/>
      <w:iCs/>
      <w:color w:val="404040" w:themeColor="text1" w:themeTint="BF"/>
    </w:rPr>
  </w:style>
  <w:style w:type="paragraph" w:styleId="ListParagraph">
    <w:name w:val="List Paragraph"/>
    <w:basedOn w:val="Normal"/>
    <w:uiPriority w:val="34"/>
    <w:qFormat/>
    <w:rsid w:val="00F4702E"/>
    <w:pPr>
      <w:ind w:left="720"/>
      <w:contextualSpacing/>
    </w:pPr>
  </w:style>
  <w:style w:type="character" w:styleId="IntenseEmphasis">
    <w:name w:val="Intense Emphasis"/>
    <w:basedOn w:val="DefaultParagraphFont"/>
    <w:uiPriority w:val="21"/>
    <w:qFormat/>
    <w:rsid w:val="00F4702E"/>
    <w:rPr>
      <w:i/>
      <w:iCs/>
      <w:color w:val="0F4761" w:themeColor="accent1" w:themeShade="BF"/>
    </w:rPr>
  </w:style>
  <w:style w:type="paragraph" w:styleId="IntenseQuote">
    <w:name w:val="Intense Quote"/>
    <w:basedOn w:val="Normal"/>
    <w:next w:val="Normal"/>
    <w:link w:val="IntenseQuoteChar"/>
    <w:uiPriority w:val="30"/>
    <w:qFormat/>
    <w:rsid w:val="00F47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02E"/>
    <w:rPr>
      <w:i/>
      <w:iCs/>
      <w:color w:val="0F4761" w:themeColor="accent1" w:themeShade="BF"/>
    </w:rPr>
  </w:style>
  <w:style w:type="character" w:styleId="IntenseReference">
    <w:name w:val="Intense Reference"/>
    <w:basedOn w:val="DefaultParagraphFont"/>
    <w:uiPriority w:val="32"/>
    <w:qFormat/>
    <w:rsid w:val="00F4702E"/>
    <w:rPr>
      <w:b/>
      <w:bCs/>
      <w:smallCaps/>
      <w:color w:val="0F4761" w:themeColor="accent1" w:themeShade="BF"/>
      <w:spacing w:val="5"/>
    </w:rPr>
  </w:style>
  <w:style w:type="character" w:styleId="CommentReference">
    <w:name w:val="annotation reference"/>
    <w:basedOn w:val="DefaultParagraphFont"/>
    <w:uiPriority w:val="99"/>
    <w:semiHidden/>
    <w:unhideWhenUsed/>
    <w:rsid w:val="00F652E5"/>
    <w:rPr>
      <w:sz w:val="16"/>
      <w:szCs w:val="16"/>
    </w:rPr>
  </w:style>
  <w:style w:type="paragraph" w:styleId="CommentText">
    <w:name w:val="annotation text"/>
    <w:basedOn w:val="Normal"/>
    <w:link w:val="CommentTextChar"/>
    <w:uiPriority w:val="99"/>
    <w:unhideWhenUsed/>
    <w:rsid w:val="00F652E5"/>
    <w:pPr>
      <w:spacing w:line="240" w:lineRule="auto"/>
    </w:pPr>
    <w:rPr>
      <w:sz w:val="20"/>
      <w:szCs w:val="20"/>
    </w:rPr>
  </w:style>
  <w:style w:type="character" w:customStyle="1" w:styleId="CommentTextChar">
    <w:name w:val="Comment Text Char"/>
    <w:basedOn w:val="DefaultParagraphFont"/>
    <w:link w:val="CommentText"/>
    <w:uiPriority w:val="99"/>
    <w:rsid w:val="00F652E5"/>
    <w:rPr>
      <w:sz w:val="20"/>
      <w:szCs w:val="20"/>
    </w:rPr>
  </w:style>
  <w:style w:type="paragraph" w:styleId="CommentSubject">
    <w:name w:val="annotation subject"/>
    <w:basedOn w:val="CommentText"/>
    <w:next w:val="CommentText"/>
    <w:link w:val="CommentSubjectChar"/>
    <w:uiPriority w:val="99"/>
    <w:semiHidden/>
    <w:unhideWhenUsed/>
    <w:rsid w:val="00F652E5"/>
    <w:rPr>
      <w:b/>
      <w:bCs/>
    </w:rPr>
  </w:style>
  <w:style w:type="character" w:customStyle="1" w:styleId="CommentSubjectChar">
    <w:name w:val="Comment Subject Char"/>
    <w:basedOn w:val="CommentTextChar"/>
    <w:link w:val="CommentSubject"/>
    <w:uiPriority w:val="99"/>
    <w:semiHidden/>
    <w:rsid w:val="00F652E5"/>
    <w:rPr>
      <w:b/>
      <w:bCs/>
      <w:sz w:val="20"/>
      <w:szCs w:val="20"/>
    </w:rPr>
  </w:style>
  <w:style w:type="paragraph" w:styleId="Revision">
    <w:name w:val="Revision"/>
    <w:hidden/>
    <w:uiPriority w:val="99"/>
    <w:semiHidden/>
    <w:rsid w:val="00CD4C1B"/>
    <w:pPr>
      <w:spacing w:after="0" w:line="240" w:lineRule="auto"/>
    </w:pPr>
  </w:style>
  <w:style w:type="paragraph" w:styleId="FootnoteText">
    <w:name w:val="footnote text"/>
    <w:basedOn w:val="Normal"/>
    <w:link w:val="FootnoteTextChar"/>
    <w:uiPriority w:val="99"/>
    <w:semiHidden/>
    <w:unhideWhenUsed/>
    <w:rsid w:val="00B7718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B7718E"/>
    <w:rPr>
      <w:kern w:val="0"/>
      <w:sz w:val="20"/>
      <w:szCs w:val="20"/>
      <w14:ligatures w14:val="none"/>
    </w:rPr>
  </w:style>
  <w:style w:type="character" w:styleId="FootnoteReference">
    <w:name w:val="footnote reference"/>
    <w:basedOn w:val="DefaultParagraphFont"/>
    <w:uiPriority w:val="99"/>
    <w:semiHidden/>
    <w:unhideWhenUsed/>
    <w:rsid w:val="00B7718E"/>
    <w:rPr>
      <w:vertAlign w:val="superscript"/>
    </w:rPr>
  </w:style>
  <w:style w:type="paragraph" w:styleId="Header">
    <w:name w:val="header"/>
    <w:basedOn w:val="Normal"/>
    <w:link w:val="HeaderChar"/>
    <w:uiPriority w:val="99"/>
    <w:semiHidden/>
    <w:unhideWhenUsed/>
    <w:rsid w:val="007D405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D405A"/>
  </w:style>
  <w:style w:type="paragraph" w:styleId="Footer">
    <w:name w:val="footer"/>
    <w:basedOn w:val="Normal"/>
    <w:link w:val="FooterChar"/>
    <w:uiPriority w:val="99"/>
    <w:semiHidden/>
    <w:unhideWhenUsed/>
    <w:rsid w:val="007D405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D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4ffd75-1d37-4da4-95f3-34c6cce03ab2">
      <UserInfo>
        <DisplayName>Ott Aarma</DisplayName>
        <AccountId>56</AccountId>
        <AccountType/>
      </UserInfo>
      <UserInfo>
        <DisplayName>Taavi Tamm</DisplayName>
        <AccountId>57</AccountId>
        <AccountType/>
      </UserInfo>
      <UserInfo>
        <DisplayName>Tiina Vellet</DisplayName>
        <AccountId>58</AccountId>
        <AccountType/>
      </UserInfo>
      <UserInfo>
        <DisplayName>Kristjan Kuusk</DisplayName>
        <AccountId>59</AccountId>
        <AccountType/>
      </UserInfo>
      <UserInfo>
        <DisplayName>Henry Timberg</DisplayName>
        <AccountId>33</AccountId>
        <AccountType/>
      </UserInfo>
      <UserInfo>
        <DisplayName>Monika Silvet</DisplayName>
        <AccountId>29</AccountId>
        <AccountType/>
      </UserInfo>
      <UserInfo>
        <DisplayName>Karel Virks</DisplayName>
        <AccountId>24</AccountId>
        <AccountType/>
      </UserInfo>
      <UserInfo>
        <DisplayName>Jenny Jakobson</DisplayName>
        <AccountId>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1027A-0498-4EF5-BA75-50502C6678A0}">
  <ds:schemaRefs>
    <ds:schemaRef ds:uri="http://schemas.microsoft.com/sharepoint/v3/contenttype/forms"/>
  </ds:schemaRefs>
</ds:datastoreItem>
</file>

<file path=customXml/itemProps2.xml><?xml version="1.0" encoding="utf-8"?>
<ds:datastoreItem xmlns:ds="http://schemas.openxmlformats.org/officeDocument/2006/customXml" ds:itemID="{29FE7CE6-B9A0-490C-8C84-DE682C0106A3}">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ab4ffd75-1d37-4da4-95f3-34c6cce03ab2"/>
  </ds:schemaRefs>
</ds:datastoreItem>
</file>

<file path=customXml/itemProps3.xml><?xml version="1.0" encoding="utf-8"?>
<ds:datastoreItem xmlns:ds="http://schemas.openxmlformats.org/officeDocument/2006/customXml" ds:itemID="{BD17EB43-9BB8-4B30-874D-BA70ED13B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1925</Words>
  <Characters>11170</Characters>
  <Application>Microsoft Office Word</Application>
  <DocSecurity>0</DocSecurity>
  <Lines>93</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Põldmaa</dc:creator>
  <cp:keywords/>
  <dc:description/>
  <cp:lastModifiedBy>Henry Timberg</cp:lastModifiedBy>
  <cp:revision>2</cp:revision>
  <dcterms:created xsi:type="dcterms:W3CDTF">2025-08-22T07:36:00Z</dcterms:created>
  <dcterms:modified xsi:type="dcterms:W3CDTF">2025-08-22T07:36:00Z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0x010100B0FDE522549F65439B6429B7C4ED5A57</vt:lpwstr>
  </property>
</Properties>
</file>